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3F1" w:rsidRPr="00337033" w:rsidRDefault="00C903F1" w:rsidP="00337033">
      <w:pPr>
        <w:spacing w:line="276" w:lineRule="auto"/>
        <w:jc w:val="center"/>
        <w:outlineLvl w:val="0"/>
        <w:rPr>
          <w:b/>
          <w:smallCaps/>
          <w:sz w:val="28"/>
          <w:szCs w:val="28"/>
          <w:lang w:val="en-US"/>
        </w:rPr>
      </w:pPr>
      <w:bookmarkStart w:id="0" w:name="_GoBack"/>
      <w:bookmarkEnd w:id="0"/>
    </w:p>
    <w:p w:rsidR="00584640" w:rsidRPr="00D852E0" w:rsidRDefault="0052668A" w:rsidP="00C75439">
      <w:pPr>
        <w:spacing w:line="276" w:lineRule="auto"/>
        <w:jc w:val="center"/>
        <w:outlineLvl w:val="0"/>
        <w:rPr>
          <w:b/>
          <w:sz w:val="36"/>
          <w:szCs w:val="36"/>
          <w:lang w:val="en-US"/>
        </w:rPr>
      </w:pPr>
      <w:r w:rsidRPr="00F87BC0">
        <w:rPr>
          <w:b/>
          <w:smallCaps/>
          <w:sz w:val="28"/>
          <w:szCs w:val="28"/>
          <w:lang w:val="en-US"/>
        </w:rPr>
        <w:t xml:space="preserve">YOUTH LABOR MARKET </w:t>
      </w:r>
      <w:r w:rsidR="00417EAD" w:rsidRPr="00F87BC0">
        <w:rPr>
          <w:b/>
          <w:smallCaps/>
          <w:sz w:val="28"/>
          <w:szCs w:val="28"/>
          <w:lang w:val="en-US"/>
        </w:rPr>
        <w:t xml:space="preserve">IN BRAZIL </w:t>
      </w:r>
      <w:r w:rsidRPr="00F87BC0">
        <w:rPr>
          <w:b/>
          <w:smallCaps/>
          <w:sz w:val="28"/>
          <w:szCs w:val="28"/>
          <w:lang w:val="en-US"/>
        </w:rPr>
        <w:t>THROUGH THE LENS OF THE FLOW APPROACH</w:t>
      </w:r>
      <w:r w:rsidR="00D852E0" w:rsidRPr="00D852E0">
        <w:rPr>
          <w:rStyle w:val="Refdenotaderodap"/>
          <w:b/>
          <w:sz w:val="36"/>
          <w:szCs w:val="36"/>
          <w:lang w:val="en-US"/>
        </w:rPr>
        <w:footnoteReference w:customMarkFollows="1" w:id="2"/>
        <w:sym w:font="Symbol" w:char="F0A8"/>
      </w:r>
    </w:p>
    <w:p w:rsidR="00D852E0" w:rsidRDefault="00D852E0" w:rsidP="00C75439">
      <w:pPr>
        <w:spacing w:line="276" w:lineRule="auto"/>
        <w:jc w:val="center"/>
        <w:outlineLvl w:val="0"/>
        <w:rPr>
          <w:b/>
          <w:sz w:val="28"/>
          <w:lang w:val="en-US"/>
        </w:rPr>
      </w:pPr>
    </w:p>
    <w:p w:rsidR="00405C2D" w:rsidRPr="00F87BC0" w:rsidRDefault="00405C2D" w:rsidP="00405C2D">
      <w:pPr>
        <w:spacing w:line="276" w:lineRule="auto"/>
        <w:jc w:val="center"/>
        <w:outlineLvl w:val="0"/>
        <w:rPr>
          <w:i/>
          <w:iCs/>
          <w:sz w:val="28"/>
          <w:szCs w:val="28"/>
        </w:rPr>
      </w:pPr>
      <w:r w:rsidRPr="00F87BC0">
        <w:rPr>
          <w:i/>
          <w:iCs/>
          <w:sz w:val="28"/>
          <w:szCs w:val="28"/>
        </w:rPr>
        <w:t>Carlos Henrique Corseuil (IPEA)</w:t>
      </w:r>
    </w:p>
    <w:p w:rsidR="00405C2D" w:rsidRPr="00F87BC0" w:rsidRDefault="00405C2D" w:rsidP="00405C2D">
      <w:pPr>
        <w:spacing w:before="0" w:line="276" w:lineRule="auto"/>
        <w:jc w:val="center"/>
        <w:outlineLvl w:val="0"/>
        <w:rPr>
          <w:i/>
          <w:iCs/>
          <w:sz w:val="28"/>
          <w:szCs w:val="28"/>
        </w:rPr>
      </w:pPr>
      <w:r w:rsidRPr="00F87BC0">
        <w:rPr>
          <w:i/>
          <w:iCs/>
          <w:sz w:val="28"/>
          <w:szCs w:val="28"/>
        </w:rPr>
        <w:t>Miguel Foguel (IPEA)</w:t>
      </w:r>
    </w:p>
    <w:p w:rsidR="00405C2D" w:rsidRPr="00F87BC0" w:rsidRDefault="00405C2D" w:rsidP="00405C2D">
      <w:pPr>
        <w:spacing w:before="0" w:line="276" w:lineRule="auto"/>
        <w:jc w:val="center"/>
        <w:outlineLvl w:val="0"/>
        <w:rPr>
          <w:i/>
          <w:iCs/>
          <w:sz w:val="28"/>
          <w:szCs w:val="28"/>
        </w:rPr>
      </w:pPr>
      <w:r w:rsidRPr="00F87BC0">
        <w:rPr>
          <w:i/>
          <w:iCs/>
          <w:sz w:val="28"/>
          <w:szCs w:val="28"/>
        </w:rPr>
        <w:t>Gustavo Gonzaga (PUC-Rio)</w:t>
      </w:r>
    </w:p>
    <w:p w:rsidR="00405C2D" w:rsidRPr="00F87BC0" w:rsidRDefault="00405C2D" w:rsidP="00405C2D">
      <w:pPr>
        <w:spacing w:before="0" w:line="276" w:lineRule="auto"/>
        <w:jc w:val="center"/>
        <w:outlineLvl w:val="0"/>
        <w:rPr>
          <w:i/>
          <w:iCs/>
          <w:sz w:val="28"/>
          <w:szCs w:val="28"/>
        </w:rPr>
      </w:pPr>
      <w:r w:rsidRPr="00F87BC0">
        <w:rPr>
          <w:i/>
          <w:iCs/>
          <w:sz w:val="28"/>
          <w:szCs w:val="28"/>
        </w:rPr>
        <w:t>Eduardo Pontual Ribeiro (UFRJ)</w:t>
      </w:r>
    </w:p>
    <w:p w:rsidR="00D852E0" w:rsidRPr="00405C2D" w:rsidRDefault="00D852E0" w:rsidP="004D255A">
      <w:pPr>
        <w:spacing w:line="360" w:lineRule="auto"/>
        <w:jc w:val="center"/>
      </w:pPr>
    </w:p>
    <w:p w:rsidR="004D255A" w:rsidRPr="00D852E0" w:rsidRDefault="004D255A" w:rsidP="004D255A">
      <w:pPr>
        <w:spacing w:line="360" w:lineRule="auto"/>
        <w:jc w:val="center"/>
        <w:rPr>
          <w:b/>
          <w:lang w:val="en-US"/>
        </w:rPr>
      </w:pPr>
      <w:r w:rsidRPr="00D852E0">
        <w:rPr>
          <w:b/>
          <w:lang w:val="en-US"/>
        </w:rPr>
        <w:t>Abstract</w:t>
      </w:r>
    </w:p>
    <w:p w:rsidR="00647552" w:rsidRPr="00D852E0" w:rsidRDefault="00647552" w:rsidP="00D852E0">
      <w:pPr>
        <w:rPr>
          <w:sz w:val="20"/>
          <w:szCs w:val="20"/>
          <w:lang w:val="en-US"/>
        </w:rPr>
      </w:pPr>
      <w:r w:rsidRPr="00D852E0">
        <w:rPr>
          <w:sz w:val="20"/>
          <w:szCs w:val="20"/>
          <w:lang w:val="en-US"/>
        </w:rPr>
        <w:t xml:space="preserve">We use matched employer-employee data to study </w:t>
      </w:r>
      <w:r w:rsidR="007D163B" w:rsidRPr="00D852E0">
        <w:rPr>
          <w:sz w:val="20"/>
          <w:szCs w:val="20"/>
          <w:lang w:val="en-US"/>
        </w:rPr>
        <w:t xml:space="preserve">the </w:t>
      </w:r>
      <w:r w:rsidRPr="00D852E0">
        <w:rPr>
          <w:sz w:val="20"/>
          <w:szCs w:val="20"/>
          <w:lang w:val="en-US"/>
        </w:rPr>
        <w:t xml:space="preserve">situation of young workers in the (formal) labor market in Brazil. We employ the flow approach to draw a comparative picture of the patterns of the young and adult movements in the labor market during a period of fifteen years. We also estimate an econometric model that attempts to </w:t>
      </w:r>
      <w:r w:rsidR="007D163B" w:rsidRPr="00D852E0">
        <w:rPr>
          <w:sz w:val="20"/>
          <w:szCs w:val="20"/>
          <w:lang w:val="en-US"/>
        </w:rPr>
        <w:t xml:space="preserve">isolate the contribution of workers’ age on employment duration. Our results show that youths experience very high rates of labor market turnover, a phenomenon that comes from elevated rates of hiring and separation from jobs. The estimates from the model show that the age of workers does contribute to decrease employment duration, with or without the inclusion of firm-specific fixed effects. In terms of policy, a decline in the separation rate may be attained through a combination of policies that involves the education system and labor market initiatives that create incentives for workers and firms to invest in each other. </w:t>
      </w:r>
    </w:p>
    <w:p w:rsidR="008E010D" w:rsidRDefault="008E010D">
      <w:pPr>
        <w:spacing w:before="0"/>
        <w:jc w:val="left"/>
        <w:rPr>
          <w:lang w:val="en-US"/>
        </w:rPr>
      </w:pPr>
      <w:r>
        <w:rPr>
          <w:lang w:val="en-US"/>
        </w:rPr>
        <w:br w:type="page"/>
      </w:r>
    </w:p>
    <w:p w:rsidR="004D255A" w:rsidRDefault="004D255A" w:rsidP="008B4447">
      <w:pPr>
        <w:spacing w:line="360" w:lineRule="auto"/>
        <w:rPr>
          <w:lang w:val="en-US"/>
        </w:rPr>
      </w:pPr>
    </w:p>
    <w:p w:rsidR="00E54E37" w:rsidRPr="00E54E37" w:rsidRDefault="00E54E37" w:rsidP="00E54E37">
      <w:pPr>
        <w:pStyle w:val="PargrafodaLista"/>
        <w:numPr>
          <w:ilvl w:val="0"/>
          <w:numId w:val="9"/>
        </w:numPr>
        <w:spacing w:line="360" w:lineRule="auto"/>
        <w:rPr>
          <w:rFonts w:ascii="Times New Roman" w:hAnsi="Times New Roman" w:cs="Times New Roman"/>
          <w:b/>
          <w:sz w:val="24"/>
          <w:szCs w:val="24"/>
          <w:lang w:val="en-US"/>
        </w:rPr>
      </w:pPr>
      <w:r w:rsidRPr="00E54E37">
        <w:rPr>
          <w:rFonts w:ascii="Times New Roman" w:hAnsi="Times New Roman" w:cs="Times New Roman"/>
          <w:b/>
          <w:sz w:val="24"/>
          <w:szCs w:val="24"/>
          <w:lang w:val="en-US"/>
        </w:rPr>
        <w:t>Introduction</w:t>
      </w:r>
    </w:p>
    <w:p w:rsidR="0029322D" w:rsidRDefault="008B4447" w:rsidP="008B4447">
      <w:pPr>
        <w:spacing w:line="360" w:lineRule="auto"/>
        <w:rPr>
          <w:lang w:val="en-US"/>
        </w:rPr>
      </w:pPr>
      <w:r>
        <w:rPr>
          <w:lang w:val="en-US"/>
        </w:rPr>
        <w:t>O</w:t>
      </w:r>
      <w:r w:rsidRPr="006D09AC">
        <w:rPr>
          <w:lang w:val="en-US"/>
        </w:rPr>
        <w:t>ne of the most worrisome and widespread stylized facts in Labor Economics is the observation of very low employment rates for young workers, usually resulting in very high unemployment rates.</w:t>
      </w:r>
      <w:r>
        <w:rPr>
          <w:lang w:val="en-US"/>
        </w:rPr>
        <w:t xml:space="preserve"> </w:t>
      </w:r>
      <w:r w:rsidR="00432921">
        <w:rPr>
          <w:lang w:val="en-US"/>
        </w:rPr>
        <w:t xml:space="preserve">For instance, </w:t>
      </w:r>
      <w:r w:rsidR="00064061">
        <w:rPr>
          <w:lang w:val="en-US"/>
        </w:rPr>
        <w:t>ILO estimates the youth global unemployment rate at 12.6% in 2011</w:t>
      </w:r>
      <w:r w:rsidR="008E5CD5">
        <w:rPr>
          <w:lang w:val="en-US"/>
        </w:rPr>
        <w:t xml:space="preserve"> (ILO 2012)</w:t>
      </w:r>
      <w:r w:rsidR="00064061">
        <w:rPr>
          <w:lang w:val="en-US"/>
        </w:rPr>
        <w:t>. But in some countries the figures are much higher</w:t>
      </w:r>
      <w:r w:rsidR="008E5CD5">
        <w:rPr>
          <w:lang w:val="en-US"/>
        </w:rPr>
        <w:t xml:space="preserve"> as </w:t>
      </w:r>
      <w:r w:rsidR="0098574C">
        <w:rPr>
          <w:lang w:val="en-US"/>
        </w:rPr>
        <w:t>indicated</w:t>
      </w:r>
      <w:r w:rsidR="008E5CD5">
        <w:rPr>
          <w:lang w:val="en-US"/>
        </w:rPr>
        <w:t xml:space="preserve"> by </w:t>
      </w:r>
      <w:r w:rsidR="00432921">
        <w:rPr>
          <w:lang w:val="en-US"/>
        </w:rPr>
        <w:t xml:space="preserve">the OECD-average youth unemployment rate </w:t>
      </w:r>
      <w:r w:rsidR="008E5CD5">
        <w:rPr>
          <w:lang w:val="en-US"/>
        </w:rPr>
        <w:t xml:space="preserve">of </w:t>
      </w:r>
      <w:r w:rsidR="00432921">
        <w:rPr>
          <w:lang w:val="en-US"/>
        </w:rPr>
        <w:t>18.5% in the third quarter of 2010 (OECD 2010).</w:t>
      </w:r>
    </w:p>
    <w:p w:rsidR="008B4447" w:rsidRPr="006D09AC" w:rsidRDefault="008B4447" w:rsidP="008B4447">
      <w:pPr>
        <w:spacing w:line="360" w:lineRule="auto"/>
        <w:rPr>
          <w:lang w:val="en-US"/>
        </w:rPr>
      </w:pPr>
      <w:r>
        <w:rPr>
          <w:lang w:val="en-US"/>
        </w:rPr>
        <w:t>Brazil is no exception for this matter.</w:t>
      </w:r>
      <w:r w:rsidRPr="008B4447">
        <w:rPr>
          <w:sz w:val="18"/>
          <w:szCs w:val="18"/>
          <w:lang w:val="en-US"/>
        </w:rPr>
        <w:t xml:space="preserve"> </w:t>
      </w:r>
      <w:r>
        <w:rPr>
          <w:lang w:val="en-US"/>
        </w:rPr>
        <w:t>A</w:t>
      </w:r>
      <w:r w:rsidRPr="006D09AC">
        <w:rPr>
          <w:lang w:val="en-US"/>
        </w:rPr>
        <w:t xml:space="preserve">ccording to </w:t>
      </w:r>
      <w:r>
        <w:rPr>
          <w:lang w:val="en-US"/>
        </w:rPr>
        <w:t>a nation</w:t>
      </w:r>
      <w:r w:rsidR="0098574C">
        <w:rPr>
          <w:lang w:val="en-US"/>
        </w:rPr>
        <w:t>-</w:t>
      </w:r>
      <w:r>
        <w:rPr>
          <w:lang w:val="en-US"/>
        </w:rPr>
        <w:t>wide household survey (</w:t>
      </w:r>
      <w:r w:rsidRPr="006D09AC">
        <w:rPr>
          <w:lang w:val="en-US"/>
        </w:rPr>
        <w:t>PNAD</w:t>
      </w:r>
      <w:r>
        <w:rPr>
          <w:lang w:val="en-US"/>
        </w:rPr>
        <w:t xml:space="preserve">/IBGE) </w:t>
      </w:r>
      <w:r w:rsidRPr="006D09AC">
        <w:rPr>
          <w:lang w:val="en-US"/>
        </w:rPr>
        <w:t>the unemployment rate for 15-24 year olds was 1</w:t>
      </w:r>
      <w:r w:rsidR="00432921">
        <w:rPr>
          <w:lang w:val="en-US"/>
        </w:rPr>
        <w:t>6</w:t>
      </w:r>
      <w:r w:rsidRPr="006D09AC">
        <w:rPr>
          <w:lang w:val="en-US"/>
        </w:rPr>
        <w:t>.</w:t>
      </w:r>
      <w:r w:rsidR="00432921">
        <w:rPr>
          <w:lang w:val="en-US"/>
        </w:rPr>
        <w:t>3</w:t>
      </w:r>
      <w:r w:rsidRPr="006D09AC">
        <w:rPr>
          <w:lang w:val="en-US"/>
        </w:rPr>
        <w:t>%</w:t>
      </w:r>
      <w:r>
        <w:rPr>
          <w:lang w:val="en-US"/>
        </w:rPr>
        <w:t xml:space="preserve"> in </w:t>
      </w:r>
      <w:r w:rsidRPr="006D09AC">
        <w:rPr>
          <w:lang w:val="en-US"/>
        </w:rPr>
        <w:t>20</w:t>
      </w:r>
      <w:r w:rsidR="00432921">
        <w:rPr>
          <w:lang w:val="en-US"/>
        </w:rPr>
        <w:t>11</w:t>
      </w:r>
      <w:r w:rsidRPr="006D09AC">
        <w:rPr>
          <w:lang w:val="en-US"/>
        </w:rPr>
        <w:t xml:space="preserve">, while the rates observed for ages 25-49 and 50+, were </w:t>
      </w:r>
      <w:r w:rsidR="00432921">
        <w:rPr>
          <w:lang w:val="en-US"/>
        </w:rPr>
        <w:t>5.</w:t>
      </w:r>
      <w:r w:rsidRPr="006D09AC">
        <w:rPr>
          <w:lang w:val="en-US"/>
        </w:rPr>
        <w:t xml:space="preserve">7% and </w:t>
      </w:r>
      <w:r w:rsidR="00432921">
        <w:rPr>
          <w:lang w:val="en-US"/>
        </w:rPr>
        <w:t>2</w:t>
      </w:r>
      <w:r w:rsidRPr="006D09AC">
        <w:rPr>
          <w:lang w:val="en-US"/>
        </w:rPr>
        <w:t>.</w:t>
      </w:r>
      <w:r w:rsidR="00432921">
        <w:rPr>
          <w:lang w:val="en-US"/>
        </w:rPr>
        <w:t>8</w:t>
      </w:r>
      <w:r w:rsidRPr="006D09AC">
        <w:rPr>
          <w:lang w:val="en-US"/>
        </w:rPr>
        <w:t>%</w:t>
      </w:r>
      <w:r w:rsidR="0098574C">
        <w:rPr>
          <w:lang w:val="en-US"/>
        </w:rPr>
        <w:t>, respectively,</w:t>
      </w:r>
      <w:r>
        <w:rPr>
          <w:lang w:val="en-US"/>
        </w:rPr>
        <w:t xml:space="preserve"> in the same year</w:t>
      </w:r>
      <w:r w:rsidRPr="006D09AC">
        <w:rPr>
          <w:lang w:val="en-US"/>
        </w:rPr>
        <w:t>.</w:t>
      </w:r>
      <w:r w:rsidRPr="008B4447">
        <w:rPr>
          <w:sz w:val="18"/>
          <w:szCs w:val="18"/>
          <w:lang w:val="en-US"/>
        </w:rPr>
        <w:t xml:space="preserve"> </w:t>
      </w:r>
    </w:p>
    <w:p w:rsidR="008B4447" w:rsidRDefault="00661AA2" w:rsidP="008B4447">
      <w:pPr>
        <w:spacing w:line="360" w:lineRule="auto"/>
        <w:rPr>
          <w:bCs/>
          <w:lang w:val="en-US"/>
        </w:rPr>
      </w:pPr>
      <w:r w:rsidRPr="006D09AC">
        <w:rPr>
          <w:lang w:val="en-US"/>
        </w:rPr>
        <w:t xml:space="preserve">The main </w:t>
      </w:r>
      <w:r>
        <w:rPr>
          <w:lang w:val="en-US"/>
        </w:rPr>
        <w:t xml:space="preserve">goal </w:t>
      </w:r>
      <w:r w:rsidRPr="006D09AC">
        <w:rPr>
          <w:lang w:val="en-US"/>
        </w:rPr>
        <w:t xml:space="preserve">of this </w:t>
      </w:r>
      <w:r>
        <w:rPr>
          <w:lang w:val="en-US"/>
        </w:rPr>
        <w:t>paper</w:t>
      </w:r>
      <w:r w:rsidRPr="006D09AC">
        <w:rPr>
          <w:lang w:val="en-US"/>
        </w:rPr>
        <w:t xml:space="preserve"> is to</w:t>
      </w:r>
      <w:r w:rsidR="008B4447">
        <w:rPr>
          <w:lang w:val="en-US"/>
        </w:rPr>
        <w:t xml:space="preserve"> provide </w:t>
      </w:r>
      <w:r w:rsidR="00641221">
        <w:rPr>
          <w:lang w:val="en-US"/>
        </w:rPr>
        <w:t>a more complete picture of l</w:t>
      </w:r>
      <w:r w:rsidR="00486116">
        <w:rPr>
          <w:lang w:val="en-US"/>
        </w:rPr>
        <w:t>abor market integration of young</w:t>
      </w:r>
      <w:r w:rsidR="00641221">
        <w:rPr>
          <w:lang w:val="en-US"/>
        </w:rPr>
        <w:t xml:space="preserve"> workers in Brazil</w:t>
      </w:r>
      <w:r>
        <w:rPr>
          <w:lang w:val="en-US"/>
        </w:rPr>
        <w:t xml:space="preserve">. </w:t>
      </w:r>
      <w:r w:rsidR="00641221">
        <w:rPr>
          <w:lang w:val="en-US"/>
        </w:rPr>
        <w:t>We use the flow approach as advocated by Blanchard and Diamond (1992) as the ideal setting to analyze labor market dynamics.</w:t>
      </w:r>
      <w:r w:rsidR="008B4447">
        <w:rPr>
          <w:lang w:val="en-US"/>
        </w:rPr>
        <w:t xml:space="preserve"> </w:t>
      </w:r>
      <w:r w:rsidR="00641221">
        <w:rPr>
          <w:lang w:val="en-US"/>
        </w:rPr>
        <w:t xml:space="preserve">The implementation of this approach is based on </w:t>
      </w:r>
      <w:r w:rsidR="00033667">
        <w:rPr>
          <w:lang w:val="en-US"/>
        </w:rPr>
        <w:t>worker flow measures such as hiring, separations and turnover computed both for young and adult workers</w:t>
      </w:r>
      <w:r w:rsidR="00641221">
        <w:rPr>
          <w:lang w:val="en-US"/>
        </w:rPr>
        <w:t xml:space="preserve">. </w:t>
      </w:r>
      <w:r w:rsidR="00033667">
        <w:rPr>
          <w:bCs/>
          <w:lang w:val="en-US"/>
        </w:rPr>
        <w:t xml:space="preserve">We use a </w:t>
      </w:r>
      <w:r w:rsidR="00F4683C">
        <w:rPr>
          <w:bCs/>
          <w:lang w:val="en-US"/>
        </w:rPr>
        <w:t xml:space="preserve">Brazilian </w:t>
      </w:r>
      <w:r w:rsidR="00033667">
        <w:rPr>
          <w:bCs/>
          <w:lang w:val="en-US"/>
        </w:rPr>
        <w:t>matched employer-employee dataset (RAIS) from 1996 to 2010 to pursue all the empirical analysis</w:t>
      </w:r>
      <w:r w:rsidR="00033667" w:rsidRPr="006D09AC">
        <w:rPr>
          <w:bCs/>
          <w:lang w:val="en-US"/>
        </w:rPr>
        <w:t>.</w:t>
      </w:r>
    </w:p>
    <w:p w:rsidR="008722E8" w:rsidRDefault="008722E8" w:rsidP="008B4447">
      <w:pPr>
        <w:spacing w:line="360" w:lineRule="auto"/>
        <w:rPr>
          <w:bCs/>
          <w:lang w:val="en-US"/>
        </w:rPr>
      </w:pPr>
      <w:r>
        <w:rPr>
          <w:bCs/>
          <w:lang w:val="en-US"/>
        </w:rPr>
        <w:t xml:space="preserve">The collection of results on new dimensions of youth labor market contributes to a more accurate diagnostic of the youth labor market problem. Before </w:t>
      </w:r>
      <w:r w:rsidR="0002536F">
        <w:rPr>
          <w:bCs/>
          <w:lang w:val="en-US"/>
        </w:rPr>
        <w:t>describing</w:t>
      </w:r>
      <w:r w:rsidR="002D6E5B">
        <w:rPr>
          <w:bCs/>
          <w:lang w:val="en-US"/>
        </w:rPr>
        <w:t xml:space="preserve"> </w:t>
      </w:r>
      <w:r w:rsidR="0002536F">
        <w:rPr>
          <w:bCs/>
          <w:lang w:val="en-US"/>
        </w:rPr>
        <w:t>briefly our results</w:t>
      </w:r>
      <w:r w:rsidR="002D6E5B">
        <w:rPr>
          <w:bCs/>
          <w:lang w:val="en-US"/>
        </w:rPr>
        <w:t xml:space="preserve"> it</w:t>
      </w:r>
      <w:r w:rsidR="0002536F">
        <w:rPr>
          <w:bCs/>
          <w:lang w:val="en-US"/>
        </w:rPr>
        <w:t xml:space="preserve"> is</w:t>
      </w:r>
      <w:r w:rsidR="002D6E5B">
        <w:rPr>
          <w:bCs/>
          <w:lang w:val="en-US"/>
        </w:rPr>
        <w:t xml:space="preserve"> worth mentioning two methodological</w:t>
      </w:r>
      <w:r>
        <w:rPr>
          <w:bCs/>
          <w:lang w:val="en-US"/>
        </w:rPr>
        <w:t xml:space="preserve"> contributions of this paper.</w:t>
      </w:r>
      <w:r w:rsidR="002D6E5B">
        <w:rPr>
          <w:bCs/>
          <w:lang w:val="en-US"/>
        </w:rPr>
        <w:t xml:space="preserve"> The first one is a measurement procedure that identifies how much of young workers separation is due to adult workers crowding-in. The s</w:t>
      </w:r>
      <w:r w:rsidR="0002536F">
        <w:rPr>
          <w:bCs/>
          <w:lang w:val="en-US"/>
        </w:rPr>
        <w:t xml:space="preserve">econd one is the </w:t>
      </w:r>
      <w:r w:rsidR="002D6E5B">
        <w:rPr>
          <w:bCs/>
          <w:lang w:val="en-US"/>
        </w:rPr>
        <w:t>strategy used here to</w:t>
      </w:r>
      <w:r w:rsidR="0002536F">
        <w:rPr>
          <w:bCs/>
          <w:lang w:val="en-US"/>
        </w:rPr>
        <w:t xml:space="preserve"> identify the age effect on employment duration, which is based on a hazard model with establishment fixed effects.</w:t>
      </w:r>
    </w:p>
    <w:p w:rsidR="00033667" w:rsidRDefault="00033667" w:rsidP="00033667">
      <w:pPr>
        <w:spacing w:line="360" w:lineRule="auto"/>
        <w:rPr>
          <w:lang w:val="en-US"/>
        </w:rPr>
      </w:pPr>
      <w:r>
        <w:rPr>
          <w:bCs/>
          <w:lang w:val="en-US"/>
        </w:rPr>
        <w:t>Our first results confirm larger flows</w:t>
      </w:r>
      <w:r w:rsidR="00486116">
        <w:rPr>
          <w:bCs/>
          <w:lang w:val="en-US"/>
        </w:rPr>
        <w:t xml:space="preserve"> </w:t>
      </w:r>
      <w:r>
        <w:rPr>
          <w:bCs/>
          <w:lang w:val="en-US"/>
        </w:rPr>
        <w:t>for young workers than for adult workers. Perhaps the most striking result is the average turnover rate which amounts to 1.6</w:t>
      </w:r>
      <w:r w:rsidR="0024006C">
        <w:rPr>
          <w:bCs/>
          <w:lang w:val="en-US"/>
        </w:rPr>
        <w:t>5</w:t>
      </w:r>
      <w:r>
        <w:rPr>
          <w:bCs/>
          <w:lang w:val="en-US"/>
        </w:rPr>
        <w:t xml:space="preserve"> for youth workers</w:t>
      </w:r>
      <w:r w:rsidR="0098574C">
        <w:rPr>
          <w:bCs/>
          <w:lang w:val="en-US"/>
        </w:rPr>
        <w:t xml:space="preserve">, </w:t>
      </w:r>
      <w:r w:rsidR="00486116">
        <w:rPr>
          <w:bCs/>
          <w:lang w:val="en-US"/>
        </w:rPr>
        <w:t>twice as large</w:t>
      </w:r>
      <w:r w:rsidR="0098574C">
        <w:rPr>
          <w:bCs/>
          <w:lang w:val="en-US"/>
        </w:rPr>
        <w:t xml:space="preserve"> as</w:t>
      </w:r>
      <w:r w:rsidR="00486116">
        <w:rPr>
          <w:bCs/>
          <w:lang w:val="en-US"/>
        </w:rPr>
        <w:t xml:space="preserve"> the adults’ figure</w:t>
      </w:r>
      <w:r>
        <w:rPr>
          <w:bCs/>
          <w:lang w:val="en-US"/>
        </w:rPr>
        <w:t xml:space="preserve">. Also important </w:t>
      </w:r>
      <w:r w:rsidR="005D44B2">
        <w:rPr>
          <w:bCs/>
          <w:lang w:val="en-US"/>
        </w:rPr>
        <w:t>is the fact that hiring rates are relatively</w:t>
      </w:r>
      <w:r w:rsidR="0098574C">
        <w:rPr>
          <w:bCs/>
          <w:lang w:val="en-US"/>
        </w:rPr>
        <w:t xml:space="preserve"> higher</w:t>
      </w:r>
      <w:r w:rsidR="005D44B2">
        <w:rPr>
          <w:bCs/>
          <w:lang w:val="en-US"/>
        </w:rPr>
        <w:t xml:space="preserve"> than separation rates for young workers.</w:t>
      </w:r>
    </w:p>
    <w:p w:rsidR="008B4447" w:rsidRDefault="008B4447" w:rsidP="008B4447">
      <w:pPr>
        <w:spacing w:line="360" w:lineRule="auto"/>
        <w:rPr>
          <w:lang w:val="en-US"/>
        </w:rPr>
      </w:pPr>
      <w:r w:rsidRPr="008B4447">
        <w:rPr>
          <w:lang w:val="en-US"/>
        </w:rPr>
        <w:t xml:space="preserve">In general, </w:t>
      </w:r>
      <w:r w:rsidR="00E54E37">
        <w:rPr>
          <w:lang w:val="en-US"/>
        </w:rPr>
        <w:t xml:space="preserve">low </w:t>
      </w:r>
      <w:r w:rsidRPr="008B4447">
        <w:rPr>
          <w:lang w:val="en-US"/>
        </w:rPr>
        <w:t xml:space="preserve">employment rates for young workers can occur either because of a low </w:t>
      </w:r>
      <w:r w:rsidR="00E54E37">
        <w:rPr>
          <w:lang w:val="en-US"/>
        </w:rPr>
        <w:t>entry</w:t>
      </w:r>
      <w:r w:rsidRPr="008B4447">
        <w:rPr>
          <w:lang w:val="en-US"/>
        </w:rPr>
        <w:t xml:space="preserve"> flow </w:t>
      </w:r>
      <w:r w:rsidR="00E54E37">
        <w:rPr>
          <w:lang w:val="en-US"/>
        </w:rPr>
        <w:t>into</w:t>
      </w:r>
      <w:r w:rsidRPr="008B4447">
        <w:rPr>
          <w:lang w:val="en-US"/>
        </w:rPr>
        <w:t xml:space="preserve"> employment or from a high e</w:t>
      </w:r>
      <w:r w:rsidR="00E54E37">
        <w:rPr>
          <w:lang w:val="en-US"/>
        </w:rPr>
        <w:t>xit</w:t>
      </w:r>
      <w:r w:rsidRPr="008B4447">
        <w:rPr>
          <w:lang w:val="en-US"/>
        </w:rPr>
        <w:t xml:space="preserve"> flow </w:t>
      </w:r>
      <w:r w:rsidR="00E54E37">
        <w:rPr>
          <w:lang w:val="en-US"/>
        </w:rPr>
        <w:t>from</w:t>
      </w:r>
      <w:r w:rsidRPr="008B4447">
        <w:rPr>
          <w:lang w:val="en-US"/>
        </w:rPr>
        <w:t xml:space="preserve"> employment. </w:t>
      </w:r>
      <w:r w:rsidR="005D44B2">
        <w:rPr>
          <w:lang w:val="en-US"/>
        </w:rPr>
        <w:t xml:space="preserve">Our results </w:t>
      </w:r>
      <w:r w:rsidR="00486116">
        <w:rPr>
          <w:lang w:val="en-US"/>
        </w:rPr>
        <w:t>are</w:t>
      </w:r>
      <w:r w:rsidR="00F4683C">
        <w:rPr>
          <w:lang w:val="en-US"/>
        </w:rPr>
        <w:t xml:space="preserve"> </w:t>
      </w:r>
      <w:r w:rsidR="00F4683C">
        <w:rPr>
          <w:lang w:val="en-US"/>
        </w:rPr>
        <w:lastRenderedPageBreak/>
        <w:t>consistent with the latter</w:t>
      </w:r>
      <w:r w:rsidR="005D44B2">
        <w:rPr>
          <w:lang w:val="en-US"/>
        </w:rPr>
        <w:t xml:space="preserve"> scenario, where </w:t>
      </w:r>
      <w:r w:rsidRPr="008B4447">
        <w:rPr>
          <w:lang w:val="en-US"/>
        </w:rPr>
        <w:t xml:space="preserve">a high </w:t>
      </w:r>
      <w:r w:rsidR="00E54E37" w:rsidRPr="008B4447">
        <w:rPr>
          <w:lang w:val="en-US"/>
        </w:rPr>
        <w:t>e</w:t>
      </w:r>
      <w:r w:rsidR="00E54E37">
        <w:rPr>
          <w:lang w:val="en-US"/>
        </w:rPr>
        <w:t>xit</w:t>
      </w:r>
      <w:r w:rsidR="00E54E37" w:rsidRPr="008B4447">
        <w:rPr>
          <w:lang w:val="en-US"/>
        </w:rPr>
        <w:t xml:space="preserve"> flow </w:t>
      </w:r>
      <w:r w:rsidR="0098574C">
        <w:rPr>
          <w:lang w:val="en-US"/>
        </w:rPr>
        <w:t xml:space="preserve">(separations) </w:t>
      </w:r>
      <w:r w:rsidR="00E54E37">
        <w:rPr>
          <w:lang w:val="en-US"/>
        </w:rPr>
        <w:t>from</w:t>
      </w:r>
      <w:r w:rsidR="00E54E37" w:rsidRPr="008B4447">
        <w:rPr>
          <w:lang w:val="en-US"/>
        </w:rPr>
        <w:t xml:space="preserve"> employment</w:t>
      </w:r>
      <w:r w:rsidRPr="008B4447">
        <w:rPr>
          <w:lang w:val="en-US"/>
        </w:rPr>
        <w:t xml:space="preserve"> resulting from large turnover rates is </w:t>
      </w:r>
      <w:r w:rsidR="005D44B2">
        <w:rPr>
          <w:lang w:val="en-US"/>
        </w:rPr>
        <w:t xml:space="preserve">probably </w:t>
      </w:r>
      <w:r w:rsidRPr="008B4447">
        <w:rPr>
          <w:lang w:val="en-US"/>
        </w:rPr>
        <w:t xml:space="preserve">the main determinant of high unemployment rates for young workers </w:t>
      </w:r>
      <w:r w:rsidR="00641221">
        <w:rPr>
          <w:lang w:val="en-US"/>
        </w:rPr>
        <w:t xml:space="preserve">in Brazil </w:t>
      </w:r>
      <w:r w:rsidRPr="008B4447">
        <w:rPr>
          <w:lang w:val="en-US"/>
        </w:rPr>
        <w:t>(</w:t>
      </w:r>
      <w:proofErr w:type="spellStart"/>
      <w:r w:rsidRPr="008B4447">
        <w:rPr>
          <w:lang w:val="en-US"/>
        </w:rPr>
        <w:t>Flori</w:t>
      </w:r>
      <w:proofErr w:type="spellEnd"/>
      <w:r w:rsidRPr="008B4447">
        <w:rPr>
          <w:lang w:val="en-US"/>
        </w:rPr>
        <w:t xml:space="preserve">, 2004, has provided some </w:t>
      </w:r>
      <w:r w:rsidR="0029322D">
        <w:rPr>
          <w:lang w:val="en-US"/>
        </w:rPr>
        <w:t xml:space="preserve">previous </w:t>
      </w:r>
      <w:r w:rsidRPr="008B4447">
        <w:rPr>
          <w:lang w:val="en-US"/>
        </w:rPr>
        <w:t xml:space="preserve">evidence </w:t>
      </w:r>
      <w:r w:rsidR="00337033">
        <w:rPr>
          <w:lang w:val="en-US"/>
        </w:rPr>
        <w:t>on this</w:t>
      </w:r>
      <w:r w:rsidRPr="008B4447">
        <w:rPr>
          <w:lang w:val="en-US"/>
        </w:rPr>
        <w:t>).</w:t>
      </w:r>
      <w:r w:rsidR="00033667" w:rsidRPr="00033667">
        <w:rPr>
          <w:lang w:val="en-US"/>
        </w:rPr>
        <w:t xml:space="preserve"> </w:t>
      </w:r>
    </w:p>
    <w:p w:rsidR="004674DA" w:rsidRDefault="0098574C" w:rsidP="002B599E">
      <w:pPr>
        <w:spacing w:line="360" w:lineRule="auto"/>
        <w:rPr>
          <w:bCs/>
          <w:lang w:val="en-US"/>
        </w:rPr>
      </w:pPr>
      <w:r>
        <w:rPr>
          <w:bCs/>
          <w:lang w:val="en-US"/>
        </w:rPr>
        <w:t>T</w:t>
      </w:r>
      <w:r w:rsidR="00677AC6">
        <w:rPr>
          <w:bCs/>
          <w:lang w:val="en-US"/>
        </w:rPr>
        <w:t>he pattern of separation</w:t>
      </w:r>
      <w:r>
        <w:rPr>
          <w:bCs/>
          <w:lang w:val="en-US"/>
        </w:rPr>
        <w:t>s</w:t>
      </w:r>
      <w:r w:rsidR="005D44B2">
        <w:rPr>
          <w:bCs/>
          <w:lang w:val="en-US"/>
        </w:rPr>
        <w:t xml:space="preserve"> </w:t>
      </w:r>
      <w:r w:rsidR="00677AC6">
        <w:rPr>
          <w:bCs/>
          <w:lang w:val="en-US"/>
        </w:rPr>
        <w:t xml:space="preserve">for </w:t>
      </w:r>
      <w:r w:rsidR="005D44B2">
        <w:rPr>
          <w:bCs/>
          <w:lang w:val="en-US"/>
        </w:rPr>
        <w:t>young workers reveal</w:t>
      </w:r>
      <w:r>
        <w:rPr>
          <w:bCs/>
          <w:lang w:val="en-US"/>
        </w:rPr>
        <w:t>s</w:t>
      </w:r>
      <w:r w:rsidR="005D44B2">
        <w:rPr>
          <w:bCs/>
          <w:lang w:val="en-US"/>
        </w:rPr>
        <w:t xml:space="preserve"> </w:t>
      </w:r>
      <w:r w:rsidR="00EE04FB">
        <w:rPr>
          <w:bCs/>
          <w:lang w:val="en-US"/>
        </w:rPr>
        <w:t xml:space="preserve">two </w:t>
      </w:r>
      <w:r w:rsidR="004D4284">
        <w:rPr>
          <w:bCs/>
          <w:lang w:val="en-US"/>
        </w:rPr>
        <w:t>interesting</w:t>
      </w:r>
      <w:r w:rsidR="00000130">
        <w:rPr>
          <w:bCs/>
          <w:lang w:val="en-US"/>
        </w:rPr>
        <w:t xml:space="preserve"> findings</w:t>
      </w:r>
      <w:r w:rsidR="004D4284">
        <w:rPr>
          <w:bCs/>
          <w:lang w:val="en-US"/>
        </w:rPr>
        <w:t>. The first is that</w:t>
      </w:r>
      <w:r w:rsidR="005D44B2">
        <w:rPr>
          <w:bCs/>
          <w:lang w:val="en-US"/>
        </w:rPr>
        <w:t xml:space="preserve"> </w:t>
      </w:r>
      <w:r w:rsidR="003E2D8B">
        <w:rPr>
          <w:bCs/>
          <w:lang w:val="en-US"/>
        </w:rPr>
        <w:t xml:space="preserve">most replacements of jobs held by young workers are filled by other youths. Indeed, </w:t>
      </w:r>
      <w:r w:rsidR="009C55E5">
        <w:rPr>
          <w:bCs/>
          <w:lang w:val="en-US"/>
        </w:rPr>
        <w:t>on average</w:t>
      </w:r>
      <w:r w:rsidR="004674DA">
        <w:rPr>
          <w:bCs/>
          <w:lang w:val="en-US"/>
        </w:rPr>
        <w:t>,</w:t>
      </w:r>
      <w:r w:rsidR="009C55E5">
        <w:rPr>
          <w:bCs/>
          <w:lang w:val="en-US"/>
        </w:rPr>
        <w:t xml:space="preserve"> </w:t>
      </w:r>
      <w:r w:rsidR="004D5118">
        <w:rPr>
          <w:bCs/>
          <w:lang w:val="en-US"/>
        </w:rPr>
        <w:t>less than 10%</w:t>
      </w:r>
      <w:r w:rsidR="003E2D8B">
        <w:rPr>
          <w:bCs/>
          <w:lang w:val="en-US"/>
        </w:rPr>
        <w:t xml:space="preserve"> of all </w:t>
      </w:r>
      <w:r w:rsidR="009C55E5">
        <w:rPr>
          <w:bCs/>
          <w:lang w:val="en-US"/>
        </w:rPr>
        <w:t xml:space="preserve">replacements of </w:t>
      </w:r>
      <w:r w:rsidR="004D5118">
        <w:rPr>
          <w:bCs/>
          <w:lang w:val="en-US"/>
        </w:rPr>
        <w:t xml:space="preserve">young workers </w:t>
      </w:r>
      <w:r w:rsidR="009C55E5">
        <w:rPr>
          <w:bCs/>
          <w:lang w:val="en-US"/>
        </w:rPr>
        <w:t xml:space="preserve">are substitutions for adult workers. </w:t>
      </w:r>
      <w:r w:rsidR="004674DA">
        <w:rPr>
          <w:bCs/>
          <w:lang w:val="en-US"/>
        </w:rPr>
        <w:t xml:space="preserve">Similar results are observed in the other direction, i.e. the replacement of adults by young workers. </w:t>
      </w:r>
      <w:r w:rsidR="00C75696">
        <w:rPr>
          <w:bCs/>
          <w:lang w:val="en-US"/>
        </w:rPr>
        <w:t xml:space="preserve">This is compatible with </w:t>
      </w:r>
      <w:r w:rsidR="004674DA">
        <w:rPr>
          <w:bCs/>
          <w:lang w:val="en-US"/>
        </w:rPr>
        <w:t xml:space="preserve">a view in which young and adult </w:t>
      </w:r>
      <w:proofErr w:type="gramStart"/>
      <w:r w:rsidR="004674DA">
        <w:rPr>
          <w:bCs/>
          <w:lang w:val="en-US"/>
        </w:rPr>
        <w:t>labor enter</w:t>
      </w:r>
      <w:proofErr w:type="gramEnd"/>
      <w:r w:rsidR="004674DA">
        <w:rPr>
          <w:bCs/>
          <w:lang w:val="en-US"/>
        </w:rPr>
        <w:t xml:space="preserve"> the aggregate production function in (almost) fixed propo</w:t>
      </w:r>
      <w:r w:rsidR="00232C1A">
        <w:rPr>
          <w:bCs/>
          <w:lang w:val="en-US"/>
        </w:rPr>
        <w:t>r</w:t>
      </w:r>
      <w:r w:rsidR="004674DA">
        <w:rPr>
          <w:bCs/>
          <w:lang w:val="en-US"/>
        </w:rPr>
        <w:t>tions.</w:t>
      </w:r>
      <w:r w:rsidR="000F40CE">
        <w:rPr>
          <w:bCs/>
          <w:lang w:val="en-US"/>
        </w:rPr>
        <w:t xml:space="preserve"> </w:t>
      </w:r>
    </w:p>
    <w:p w:rsidR="00A85649" w:rsidRDefault="004D4284" w:rsidP="002B599E">
      <w:pPr>
        <w:spacing w:line="360" w:lineRule="auto"/>
        <w:rPr>
          <w:bCs/>
          <w:lang w:val="en-US"/>
        </w:rPr>
      </w:pPr>
      <w:r>
        <w:rPr>
          <w:bCs/>
          <w:lang w:val="en-US"/>
        </w:rPr>
        <w:t xml:space="preserve">The second interesting </w:t>
      </w:r>
      <w:r w:rsidR="000F40CE">
        <w:rPr>
          <w:bCs/>
          <w:lang w:val="en-US"/>
        </w:rPr>
        <w:t xml:space="preserve">finding </w:t>
      </w:r>
      <w:r>
        <w:rPr>
          <w:bCs/>
          <w:lang w:val="en-US"/>
        </w:rPr>
        <w:t xml:space="preserve">is </w:t>
      </w:r>
      <w:r w:rsidR="000F40CE">
        <w:rPr>
          <w:bCs/>
          <w:lang w:val="en-US"/>
        </w:rPr>
        <w:t xml:space="preserve">the difference between youths and adults </w:t>
      </w:r>
      <w:r w:rsidR="0098574C">
        <w:rPr>
          <w:bCs/>
          <w:lang w:val="en-US"/>
        </w:rPr>
        <w:t>as reason for</w:t>
      </w:r>
      <w:r w:rsidR="000F40CE">
        <w:rPr>
          <w:bCs/>
          <w:lang w:val="en-US"/>
        </w:rPr>
        <w:t xml:space="preserve"> </w:t>
      </w:r>
      <w:r w:rsidR="0098574C">
        <w:rPr>
          <w:bCs/>
          <w:lang w:val="en-US"/>
        </w:rPr>
        <w:t>separation</w:t>
      </w:r>
      <w:r w:rsidR="000F40CE">
        <w:rPr>
          <w:bCs/>
          <w:lang w:val="en-US"/>
        </w:rPr>
        <w:t xml:space="preserve"> from </w:t>
      </w:r>
      <w:r w:rsidR="0098574C">
        <w:rPr>
          <w:bCs/>
          <w:lang w:val="en-US"/>
        </w:rPr>
        <w:t>a job</w:t>
      </w:r>
      <w:r w:rsidR="000F40CE">
        <w:rPr>
          <w:bCs/>
          <w:lang w:val="en-US"/>
        </w:rPr>
        <w:t xml:space="preserve">. While lay-offs account for a higher share for adults, voluntary quits and the expiration of temporary contracts are relatively more important for younger workers. This </w:t>
      </w:r>
      <w:r w:rsidR="0098574C">
        <w:rPr>
          <w:bCs/>
          <w:lang w:val="en-US"/>
        </w:rPr>
        <w:t xml:space="preserve">is </w:t>
      </w:r>
      <w:r w:rsidR="000F40CE">
        <w:rPr>
          <w:bCs/>
          <w:lang w:val="en-US"/>
        </w:rPr>
        <w:t xml:space="preserve">probably due to </w:t>
      </w:r>
      <w:r w:rsidR="00E83B40">
        <w:rPr>
          <w:bCs/>
          <w:lang w:val="en-US"/>
        </w:rPr>
        <w:t xml:space="preserve">a combination of a more </w:t>
      </w:r>
      <w:r w:rsidR="0098574C">
        <w:rPr>
          <w:bCs/>
          <w:lang w:val="en-US"/>
        </w:rPr>
        <w:t>unstable</w:t>
      </w:r>
      <w:r w:rsidR="00E83B40">
        <w:rPr>
          <w:bCs/>
          <w:lang w:val="en-US"/>
        </w:rPr>
        <w:t xml:space="preserve"> </w:t>
      </w:r>
      <w:r w:rsidR="000F40CE">
        <w:rPr>
          <w:bCs/>
          <w:lang w:val="en-US"/>
        </w:rPr>
        <w:t xml:space="preserve">labor supply behavior </w:t>
      </w:r>
      <w:r w:rsidR="00E83B40">
        <w:rPr>
          <w:bCs/>
          <w:lang w:val="en-US"/>
        </w:rPr>
        <w:t xml:space="preserve">of youths and </w:t>
      </w:r>
      <w:r w:rsidR="0098574C">
        <w:rPr>
          <w:bCs/>
          <w:lang w:val="en-US"/>
        </w:rPr>
        <w:t>more frequent</w:t>
      </w:r>
      <w:r w:rsidR="00E83B40">
        <w:rPr>
          <w:bCs/>
          <w:lang w:val="en-US"/>
        </w:rPr>
        <w:t xml:space="preserve"> use of time-limited contracts to hire</w:t>
      </w:r>
      <w:r w:rsidR="00A85649">
        <w:rPr>
          <w:bCs/>
          <w:lang w:val="en-US"/>
        </w:rPr>
        <w:t xml:space="preserve"> them</w:t>
      </w:r>
      <w:r w:rsidR="00E83B40">
        <w:rPr>
          <w:bCs/>
          <w:lang w:val="en-US"/>
        </w:rPr>
        <w:t xml:space="preserve">. </w:t>
      </w:r>
    </w:p>
    <w:p w:rsidR="00E340A4" w:rsidRDefault="00A85649" w:rsidP="00A85649">
      <w:pPr>
        <w:spacing w:line="360" w:lineRule="auto"/>
        <w:rPr>
          <w:bCs/>
          <w:lang w:val="en-US"/>
        </w:rPr>
      </w:pPr>
      <w:r>
        <w:rPr>
          <w:bCs/>
          <w:lang w:val="en-US"/>
        </w:rPr>
        <w:t xml:space="preserve">Regarding the other component of turnover, namely the hiring rate, we investigate whether the high separation rate observed for youths could be attributed to </w:t>
      </w:r>
      <w:r w:rsidR="0098574C">
        <w:rPr>
          <w:bCs/>
          <w:lang w:val="en-US"/>
        </w:rPr>
        <w:t>attachment to</w:t>
      </w:r>
      <w:r>
        <w:rPr>
          <w:bCs/>
          <w:lang w:val="en-US"/>
        </w:rPr>
        <w:t xml:space="preserve"> high turnover jobs. </w:t>
      </w:r>
      <w:r w:rsidR="00E340A4">
        <w:rPr>
          <w:bCs/>
          <w:lang w:val="en-US"/>
        </w:rPr>
        <w:t>We calculat</w:t>
      </w:r>
      <w:r w:rsidR="007C3FF5">
        <w:rPr>
          <w:bCs/>
          <w:lang w:val="en-US"/>
        </w:rPr>
        <w:t>e</w:t>
      </w:r>
      <w:r w:rsidR="00E340A4">
        <w:rPr>
          <w:bCs/>
          <w:lang w:val="en-US"/>
        </w:rPr>
        <w:t xml:space="preserve"> the relative share of </w:t>
      </w:r>
      <w:proofErr w:type="spellStart"/>
      <w:r w:rsidR="00E340A4">
        <w:rPr>
          <w:bCs/>
          <w:lang w:val="en-US"/>
        </w:rPr>
        <w:t>hirings</w:t>
      </w:r>
      <w:proofErr w:type="spellEnd"/>
      <w:r w:rsidR="00E340A4">
        <w:rPr>
          <w:bCs/>
          <w:lang w:val="en-US"/>
        </w:rPr>
        <w:t xml:space="preserve"> for temporary contracts and for jobs at cooperatives, the latter typically considered quite unstable. Though we confirm that the us</w:t>
      </w:r>
      <w:r w:rsidR="007C3FF5">
        <w:rPr>
          <w:bCs/>
          <w:lang w:val="en-US"/>
        </w:rPr>
        <w:t>e of</w:t>
      </w:r>
      <w:r w:rsidR="00E340A4">
        <w:rPr>
          <w:bCs/>
          <w:lang w:val="en-US"/>
        </w:rPr>
        <w:t xml:space="preserve"> temporary contracts </w:t>
      </w:r>
      <w:r w:rsidR="007C3FF5">
        <w:rPr>
          <w:bCs/>
          <w:lang w:val="en-US"/>
        </w:rPr>
        <w:t>is</w:t>
      </w:r>
      <w:r w:rsidR="00E340A4">
        <w:rPr>
          <w:bCs/>
          <w:lang w:val="en-US"/>
        </w:rPr>
        <w:t xml:space="preserve"> relatively more important </w:t>
      </w:r>
      <w:r w:rsidR="007C3FF5">
        <w:rPr>
          <w:bCs/>
          <w:lang w:val="en-US"/>
        </w:rPr>
        <w:t>for</w:t>
      </w:r>
      <w:r w:rsidR="00E340A4">
        <w:rPr>
          <w:bCs/>
          <w:lang w:val="en-US"/>
        </w:rPr>
        <w:t xml:space="preserve"> youths than adults</w:t>
      </w:r>
      <w:r w:rsidR="00820370">
        <w:rPr>
          <w:bCs/>
          <w:lang w:val="en-US"/>
        </w:rPr>
        <w:t>, the</w:t>
      </w:r>
      <w:r w:rsidR="00E340A4">
        <w:rPr>
          <w:bCs/>
          <w:lang w:val="en-US"/>
        </w:rPr>
        <w:t xml:space="preserve"> difference does not seem to explain the more elevated separation rate for the former group. Jobs at cooperatives represent a negligible </w:t>
      </w:r>
      <w:r w:rsidR="00820370">
        <w:rPr>
          <w:bCs/>
          <w:lang w:val="en-US"/>
        </w:rPr>
        <w:t>fraction</w:t>
      </w:r>
      <w:r w:rsidR="00E340A4">
        <w:rPr>
          <w:bCs/>
          <w:lang w:val="en-US"/>
        </w:rPr>
        <w:t xml:space="preserve"> of </w:t>
      </w:r>
      <w:proofErr w:type="spellStart"/>
      <w:r w:rsidR="00E340A4">
        <w:rPr>
          <w:bCs/>
          <w:lang w:val="en-US"/>
        </w:rPr>
        <w:t>hirings</w:t>
      </w:r>
      <w:proofErr w:type="spellEnd"/>
      <w:r w:rsidR="00E340A4">
        <w:rPr>
          <w:bCs/>
          <w:lang w:val="en-US"/>
        </w:rPr>
        <w:t xml:space="preserve">, so it cannot </w:t>
      </w:r>
      <w:r w:rsidR="00820370">
        <w:rPr>
          <w:bCs/>
          <w:lang w:val="en-US"/>
        </w:rPr>
        <w:t>explain the magnitudes observed for the separation rate.</w:t>
      </w:r>
    </w:p>
    <w:p w:rsidR="00391F98" w:rsidRDefault="007C3FF5" w:rsidP="002B599E">
      <w:pPr>
        <w:spacing w:line="360" w:lineRule="auto"/>
        <w:rPr>
          <w:lang w:val="en-US"/>
        </w:rPr>
      </w:pPr>
      <w:r>
        <w:rPr>
          <w:lang w:val="en-US"/>
        </w:rPr>
        <w:t>Other job dimensions may be relevant to explain high flow rates for younger workers. I</w:t>
      </w:r>
      <w:r w:rsidR="00820370">
        <w:rPr>
          <w:bCs/>
          <w:lang w:val="en-US"/>
        </w:rPr>
        <w:t>n the last part of the paper, w</w:t>
      </w:r>
      <w:r w:rsidR="006D09AC">
        <w:rPr>
          <w:bCs/>
          <w:lang w:val="en-US"/>
        </w:rPr>
        <w:t xml:space="preserve">e </w:t>
      </w:r>
      <w:r w:rsidR="00820370">
        <w:rPr>
          <w:bCs/>
          <w:lang w:val="en-US"/>
        </w:rPr>
        <w:t xml:space="preserve">address </w:t>
      </w:r>
      <w:r>
        <w:rPr>
          <w:bCs/>
          <w:lang w:val="en-US"/>
        </w:rPr>
        <w:t xml:space="preserve">whether </w:t>
      </w:r>
      <w:r w:rsidR="00820370">
        <w:rPr>
          <w:bCs/>
          <w:lang w:val="en-US"/>
        </w:rPr>
        <w:t>the</w:t>
      </w:r>
      <w:r w:rsidR="00056A81">
        <w:rPr>
          <w:bCs/>
          <w:lang w:val="en-US"/>
        </w:rPr>
        <w:t xml:space="preserve"> high flows</w:t>
      </w:r>
      <w:r w:rsidR="00B33CF6">
        <w:rPr>
          <w:bCs/>
          <w:lang w:val="en-US"/>
        </w:rPr>
        <w:t xml:space="preserve"> computed for young workers</w:t>
      </w:r>
      <w:r>
        <w:rPr>
          <w:bCs/>
          <w:lang w:val="en-US"/>
        </w:rPr>
        <w:t xml:space="preserve"> (</w:t>
      </w:r>
      <w:r w:rsidR="00056A81">
        <w:rPr>
          <w:bCs/>
          <w:lang w:val="en-US"/>
        </w:rPr>
        <w:t>in particular the high turnover rate</w:t>
      </w:r>
      <w:r>
        <w:rPr>
          <w:bCs/>
          <w:lang w:val="en-US"/>
        </w:rPr>
        <w:t>)</w:t>
      </w:r>
      <w:r w:rsidR="00056A81">
        <w:rPr>
          <w:bCs/>
          <w:lang w:val="en-US"/>
        </w:rPr>
        <w:t xml:space="preserve"> </w:t>
      </w:r>
      <w:r>
        <w:rPr>
          <w:bCs/>
          <w:lang w:val="en-US"/>
        </w:rPr>
        <w:t xml:space="preserve">is </w:t>
      </w:r>
      <w:r w:rsidR="00056A81">
        <w:rPr>
          <w:bCs/>
          <w:lang w:val="en-US"/>
        </w:rPr>
        <w:t>an intrinsic characteristic of the low</w:t>
      </w:r>
      <w:r w:rsidR="00820370">
        <w:rPr>
          <w:bCs/>
          <w:lang w:val="en-US"/>
        </w:rPr>
        <w:t>er</w:t>
      </w:r>
      <w:r w:rsidR="00056A81">
        <w:rPr>
          <w:bCs/>
          <w:lang w:val="en-US"/>
        </w:rPr>
        <w:t xml:space="preserve"> age </w:t>
      </w:r>
      <w:r w:rsidR="00337033">
        <w:rPr>
          <w:bCs/>
          <w:lang w:val="en-US"/>
        </w:rPr>
        <w:t xml:space="preserve">of these workers </w:t>
      </w:r>
      <w:r w:rsidR="00056A81">
        <w:rPr>
          <w:bCs/>
          <w:lang w:val="en-US"/>
        </w:rPr>
        <w:t>or</w:t>
      </w:r>
      <w:r>
        <w:rPr>
          <w:bCs/>
          <w:lang w:val="en-US"/>
        </w:rPr>
        <w:t xml:space="preserve">, rather, </w:t>
      </w:r>
      <w:r w:rsidR="00802920">
        <w:rPr>
          <w:bCs/>
          <w:lang w:val="en-US"/>
        </w:rPr>
        <w:t xml:space="preserve">whether </w:t>
      </w:r>
      <w:r>
        <w:rPr>
          <w:bCs/>
          <w:lang w:val="en-US"/>
        </w:rPr>
        <w:t xml:space="preserve">it </w:t>
      </w:r>
      <w:r w:rsidR="00802920">
        <w:rPr>
          <w:bCs/>
          <w:lang w:val="en-US"/>
        </w:rPr>
        <w:t xml:space="preserve">is </w:t>
      </w:r>
      <w:r w:rsidR="00056A81">
        <w:rPr>
          <w:bCs/>
          <w:lang w:val="en-US"/>
        </w:rPr>
        <w:t>a spurious relation due to other turnover determinant</w:t>
      </w:r>
      <w:r w:rsidR="00337033">
        <w:rPr>
          <w:bCs/>
          <w:lang w:val="en-US"/>
        </w:rPr>
        <w:t>s</w:t>
      </w:r>
      <w:r w:rsidR="00056A81">
        <w:rPr>
          <w:bCs/>
          <w:lang w:val="en-US"/>
        </w:rPr>
        <w:t xml:space="preserve"> which may also be correlated with age</w:t>
      </w:r>
      <w:r>
        <w:rPr>
          <w:bCs/>
          <w:lang w:val="en-US"/>
        </w:rPr>
        <w:t>.</w:t>
      </w:r>
      <w:r w:rsidR="00056A81">
        <w:rPr>
          <w:bCs/>
          <w:lang w:val="en-US"/>
        </w:rPr>
        <w:t xml:space="preserve"> We take particular attention to establishment characteristics as we </w:t>
      </w:r>
      <w:r w:rsidR="006D09AC" w:rsidRPr="006D09AC">
        <w:rPr>
          <w:lang w:val="en-US"/>
        </w:rPr>
        <w:t xml:space="preserve">present </w:t>
      </w:r>
      <w:r w:rsidR="00056A81">
        <w:rPr>
          <w:lang w:val="en-US"/>
        </w:rPr>
        <w:t>evidence that young workers tend to be allocated to high turnover jobs.</w:t>
      </w:r>
      <w:r w:rsidR="00B33CF6">
        <w:rPr>
          <w:lang w:val="en-US"/>
        </w:rPr>
        <w:t xml:space="preserve"> </w:t>
      </w:r>
      <w:r>
        <w:rPr>
          <w:lang w:val="en-US"/>
        </w:rPr>
        <w:t xml:space="preserve">We use two complementary methods: </w:t>
      </w:r>
      <w:proofErr w:type="gramStart"/>
      <w:r>
        <w:rPr>
          <w:lang w:val="en-US"/>
        </w:rPr>
        <w:t>a variance</w:t>
      </w:r>
      <w:proofErr w:type="gramEnd"/>
      <w:r>
        <w:rPr>
          <w:lang w:val="en-US"/>
        </w:rPr>
        <w:t xml:space="preserve"> decomposition based on firm and worker characteristic and an econometric hazard model. </w:t>
      </w:r>
      <w:r w:rsidR="00B33CF6">
        <w:rPr>
          <w:lang w:val="en-US"/>
        </w:rPr>
        <w:t>The estimation of a hazard model including firms fixed effect as well as firms</w:t>
      </w:r>
      <w:r w:rsidR="00820370">
        <w:rPr>
          <w:lang w:val="en-US"/>
        </w:rPr>
        <w:t>’</w:t>
      </w:r>
      <w:r w:rsidR="00B33CF6">
        <w:rPr>
          <w:lang w:val="en-US"/>
        </w:rPr>
        <w:t xml:space="preserve"> </w:t>
      </w:r>
      <w:r w:rsidR="00B33CF6">
        <w:rPr>
          <w:lang w:val="en-US"/>
        </w:rPr>
        <w:lastRenderedPageBreak/>
        <w:t>and individuals</w:t>
      </w:r>
      <w:r w:rsidR="00820370">
        <w:rPr>
          <w:lang w:val="en-US"/>
        </w:rPr>
        <w:t>’</w:t>
      </w:r>
      <w:r w:rsidR="00B33CF6">
        <w:rPr>
          <w:lang w:val="en-US"/>
        </w:rPr>
        <w:t xml:space="preserve"> observable characteristics suggest that </w:t>
      </w:r>
      <w:r w:rsidR="00802920">
        <w:rPr>
          <w:lang w:val="en-US"/>
        </w:rPr>
        <w:t>a</w:t>
      </w:r>
      <w:r w:rsidR="00820370">
        <w:rPr>
          <w:lang w:val="en-US"/>
        </w:rPr>
        <w:t xml:space="preserve"> </w:t>
      </w:r>
      <w:r w:rsidR="00B33CF6">
        <w:rPr>
          <w:lang w:val="en-US"/>
        </w:rPr>
        <w:t>low</w:t>
      </w:r>
      <w:r w:rsidR="00820370">
        <w:rPr>
          <w:lang w:val="en-US"/>
        </w:rPr>
        <w:t>er</w:t>
      </w:r>
      <w:r w:rsidR="00B33CF6">
        <w:rPr>
          <w:lang w:val="en-US"/>
        </w:rPr>
        <w:t xml:space="preserve"> </w:t>
      </w:r>
      <w:proofErr w:type="spellStart"/>
      <w:r w:rsidR="00B33CF6">
        <w:rPr>
          <w:lang w:val="en-US"/>
        </w:rPr>
        <w:t>age</w:t>
      </w:r>
      <w:proofErr w:type="spellEnd"/>
      <w:r w:rsidR="00B33CF6">
        <w:rPr>
          <w:lang w:val="en-US"/>
        </w:rPr>
        <w:t xml:space="preserve"> increases the hazard of separation even taking into account </w:t>
      </w:r>
      <w:r w:rsidR="00802920">
        <w:rPr>
          <w:lang w:val="en-US"/>
        </w:rPr>
        <w:t xml:space="preserve">firm and worker </w:t>
      </w:r>
      <w:r w:rsidR="00B33CF6">
        <w:rPr>
          <w:lang w:val="en-US"/>
        </w:rPr>
        <w:t xml:space="preserve">controls. </w:t>
      </w:r>
    </w:p>
    <w:p w:rsidR="00265583" w:rsidRDefault="00265583" w:rsidP="002B599E">
      <w:pPr>
        <w:spacing w:line="360" w:lineRule="auto"/>
        <w:rPr>
          <w:lang w:val="en-US"/>
        </w:rPr>
      </w:pPr>
      <w:r>
        <w:rPr>
          <w:lang w:val="en-US"/>
        </w:rPr>
        <w:t xml:space="preserve">Apart from this introduction, the paper contains </w:t>
      </w:r>
      <w:r w:rsidR="00965608">
        <w:rPr>
          <w:lang w:val="en-US"/>
        </w:rPr>
        <w:t xml:space="preserve">six </w:t>
      </w:r>
      <w:r>
        <w:rPr>
          <w:lang w:val="en-US"/>
        </w:rPr>
        <w:t>sections. In the second, we present the related literature and some labor market trends for youths based on stock measures. The third section</w:t>
      </w:r>
      <w:r w:rsidR="002D157E">
        <w:rPr>
          <w:lang w:val="en-US"/>
        </w:rPr>
        <w:t xml:space="preserve"> describe</w:t>
      </w:r>
      <w:r w:rsidR="00802920">
        <w:rPr>
          <w:lang w:val="en-US"/>
        </w:rPr>
        <w:t>s</w:t>
      </w:r>
      <w:r w:rsidR="002D157E">
        <w:rPr>
          <w:lang w:val="en-US"/>
        </w:rPr>
        <w:t xml:space="preserve"> the data and set out the basic flow measures used in the paper. In the fourth section, we look at the patterns of </w:t>
      </w:r>
      <w:proofErr w:type="spellStart"/>
      <w:r w:rsidR="002D157E">
        <w:rPr>
          <w:lang w:val="en-US"/>
        </w:rPr>
        <w:t>hirings</w:t>
      </w:r>
      <w:proofErr w:type="spellEnd"/>
      <w:r w:rsidR="002D157E">
        <w:rPr>
          <w:lang w:val="en-US"/>
        </w:rPr>
        <w:t xml:space="preserve"> in an attempt to check whether the higher separation rate </w:t>
      </w:r>
      <w:r w:rsidR="00965608">
        <w:rPr>
          <w:lang w:val="en-US"/>
        </w:rPr>
        <w:t xml:space="preserve">observed </w:t>
      </w:r>
      <w:r w:rsidR="002D157E">
        <w:rPr>
          <w:lang w:val="en-US"/>
        </w:rPr>
        <w:t>for youngsters</w:t>
      </w:r>
      <w:r w:rsidR="00965608">
        <w:rPr>
          <w:lang w:val="en-US"/>
        </w:rPr>
        <w:t xml:space="preserve"> could be due to an allocation in which they start off from high turnover jobs. Section five contains a deeper loo</w:t>
      </w:r>
      <w:r w:rsidR="00802920">
        <w:rPr>
          <w:lang w:val="en-US"/>
        </w:rPr>
        <w:t>k at differences in the pattern</w:t>
      </w:r>
      <w:r w:rsidR="00965608">
        <w:rPr>
          <w:lang w:val="en-US"/>
        </w:rPr>
        <w:t xml:space="preserve"> of separations between the groups. In section six, we </w:t>
      </w:r>
      <w:r w:rsidR="00B21D90">
        <w:rPr>
          <w:lang w:val="en-US"/>
        </w:rPr>
        <w:t>use statistic and econometric models as an attempt to better measure the role played by workers’ age in explaining the patterns of the job flow measures analyzed in the previous sections. The last section offers some conclusions.</w:t>
      </w:r>
    </w:p>
    <w:p w:rsidR="00EC3E0C" w:rsidRPr="00EC3E0C" w:rsidRDefault="00EC3E0C" w:rsidP="00586A05">
      <w:pPr>
        <w:spacing w:line="360" w:lineRule="auto"/>
        <w:rPr>
          <w:b/>
          <w:lang w:val="en-US"/>
        </w:rPr>
      </w:pPr>
      <w:r w:rsidRPr="00EC3E0C">
        <w:rPr>
          <w:b/>
          <w:lang w:val="en-US"/>
        </w:rPr>
        <w:t>2. Preliminaries</w:t>
      </w:r>
    </w:p>
    <w:p w:rsidR="00DE346C" w:rsidRDefault="00EC3E0C" w:rsidP="00586A05">
      <w:pPr>
        <w:spacing w:line="360" w:lineRule="auto"/>
        <w:rPr>
          <w:i/>
          <w:lang w:val="en-US"/>
        </w:rPr>
      </w:pPr>
      <w:r>
        <w:rPr>
          <w:i/>
          <w:lang w:val="en-US"/>
        </w:rPr>
        <w:t>2</w:t>
      </w:r>
      <w:r w:rsidR="00584640" w:rsidRPr="00584640">
        <w:rPr>
          <w:i/>
          <w:lang w:val="en-US"/>
        </w:rPr>
        <w:t xml:space="preserve">.1. </w:t>
      </w:r>
      <w:r w:rsidR="00DE346C">
        <w:rPr>
          <w:i/>
          <w:lang w:val="en-US"/>
        </w:rPr>
        <w:t>Related literature</w:t>
      </w:r>
    </w:p>
    <w:p w:rsidR="00EA48E3" w:rsidRPr="004D255A" w:rsidRDefault="004D255A" w:rsidP="0089111B">
      <w:pPr>
        <w:spacing w:line="360" w:lineRule="auto"/>
        <w:ind w:firstLine="360"/>
        <w:rPr>
          <w:lang w:val="en-US"/>
        </w:rPr>
      </w:pPr>
      <w:r>
        <w:rPr>
          <w:lang w:val="en-US"/>
        </w:rPr>
        <w:t xml:space="preserve">The bulk of the literature on youth labor market </w:t>
      </w:r>
      <w:r w:rsidR="0089111B">
        <w:rPr>
          <w:lang w:val="en-US"/>
        </w:rPr>
        <w:t>relies on the analysis of</w:t>
      </w:r>
      <w:r>
        <w:rPr>
          <w:lang w:val="en-US"/>
        </w:rPr>
        <w:t xml:space="preserve"> stock variables </w:t>
      </w:r>
      <w:r w:rsidR="00012C68">
        <w:rPr>
          <w:lang w:val="en-US"/>
        </w:rPr>
        <w:t xml:space="preserve">computed from </w:t>
      </w:r>
      <w:r>
        <w:rPr>
          <w:lang w:val="en-US"/>
        </w:rPr>
        <w:t>household surveys.</w:t>
      </w:r>
      <w:r w:rsidR="00EA48E3" w:rsidRPr="004D255A">
        <w:rPr>
          <w:lang w:val="en-US"/>
        </w:rPr>
        <w:t xml:space="preserve"> </w:t>
      </w:r>
      <w:r w:rsidR="00012C68">
        <w:rPr>
          <w:lang w:val="en-US"/>
        </w:rPr>
        <w:t>Typically, the unemployment rate</w:t>
      </w:r>
      <w:r w:rsidR="0089111B">
        <w:rPr>
          <w:lang w:val="en-US"/>
        </w:rPr>
        <w:t xml:space="preserve"> </w:t>
      </w:r>
      <w:r w:rsidR="00012C68">
        <w:rPr>
          <w:lang w:val="en-US"/>
        </w:rPr>
        <w:t xml:space="preserve">is the </w:t>
      </w:r>
      <w:r w:rsidR="00C3441F">
        <w:rPr>
          <w:lang w:val="en-US"/>
        </w:rPr>
        <w:t xml:space="preserve">main </w:t>
      </w:r>
      <w:r w:rsidR="00012C68">
        <w:rPr>
          <w:lang w:val="en-US"/>
        </w:rPr>
        <w:t>indicator used in such analyse</w:t>
      </w:r>
      <w:r w:rsidR="0089111B">
        <w:rPr>
          <w:lang w:val="en-US"/>
        </w:rPr>
        <w:t xml:space="preserve">s. We start this section </w:t>
      </w:r>
      <w:r w:rsidR="00C3441F">
        <w:rPr>
          <w:lang w:val="en-US"/>
        </w:rPr>
        <w:t xml:space="preserve">by </w:t>
      </w:r>
      <w:r w:rsidR="0089111B">
        <w:rPr>
          <w:lang w:val="en-US"/>
        </w:rPr>
        <w:t xml:space="preserve">summarizing the </w:t>
      </w:r>
      <w:r w:rsidR="00762B28" w:rsidRPr="004D255A">
        <w:rPr>
          <w:lang w:val="en-US"/>
        </w:rPr>
        <w:t>stylized facts unveiled by the analysis of stock variables</w:t>
      </w:r>
      <w:r w:rsidR="0089111B">
        <w:rPr>
          <w:lang w:val="en-US"/>
        </w:rPr>
        <w:t>.</w:t>
      </w:r>
      <w:r w:rsidR="00762B28" w:rsidRPr="004D255A">
        <w:rPr>
          <w:lang w:val="en-US"/>
        </w:rPr>
        <w:t xml:space="preserve"> </w:t>
      </w:r>
    </w:p>
    <w:p w:rsidR="00824CB2" w:rsidRPr="004D255A" w:rsidRDefault="00824CB2" w:rsidP="00EE5136">
      <w:pPr>
        <w:spacing w:line="360" w:lineRule="auto"/>
        <w:ind w:firstLine="360"/>
        <w:rPr>
          <w:lang w:val="en-US"/>
        </w:rPr>
      </w:pPr>
      <w:r w:rsidRPr="004D255A">
        <w:rPr>
          <w:lang w:val="en-US"/>
        </w:rPr>
        <w:t>Freeman and Wise (1982)</w:t>
      </w:r>
      <w:r w:rsidR="00DE346C" w:rsidRPr="004D255A">
        <w:rPr>
          <w:lang w:val="en-US"/>
        </w:rPr>
        <w:t xml:space="preserve"> </w:t>
      </w:r>
      <w:proofErr w:type="gramStart"/>
      <w:r w:rsidR="0089111B">
        <w:rPr>
          <w:lang w:val="en-US"/>
        </w:rPr>
        <w:t>is</w:t>
      </w:r>
      <w:proofErr w:type="gramEnd"/>
      <w:r w:rsidR="0089111B">
        <w:rPr>
          <w:lang w:val="en-US"/>
        </w:rPr>
        <w:t xml:space="preserve"> recognized </w:t>
      </w:r>
      <w:r w:rsidR="004168E4" w:rsidRPr="004D255A">
        <w:rPr>
          <w:lang w:val="en-US"/>
        </w:rPr>
        <w:t>as a</w:t>
      </w:r>
      <w:r w:rsidR="0089111B">
        <w:rPr>
          <w:lang w:val="en-US"/>
        </w:rPr>
        <w:t>n</w:t>
      </w:r>
      <w:r w:rsidR="004168E4" w:rsidRPr="004D255A">
        <w:rPr>
          <w:lang w:val="en-US"/>
        </w:rPr>
        <w:t xml:space="preserve"> </w:t>
      </w:r>
      <w:r w:rsidR="0089111B">
        <w:rPr>
          <w:lang w:val="en-US"/>
        </w:rPr>
        <w:t>influent</w:t>
      </w:r>
      <w:r w:rsidR="004168E4" w:rsidRPr="004D255A">
        <w:rPr>
          <w:lang w:val="en-US"/>
        </w:rPr>
        <w:t xml:space="preserve"> </w:t>
      </w:r>
      <w:r w:rsidR="00B8318C">
        <w:rPr>
          <w:lang w:val="en-US"/>
        </w:rPr>
        <w:t xml:space="preserve">piece of </w:t>
      </w:r>
      <w:r w:rsidR="0089111B">
        <w:rPr>
          <w:lang w:val="en-US"/>
        </w:rPr>
        <w:t>work</w:t>
      </w:r>
      <w:r w:rsidR="004168E4" w:rsidRPr="004D255A">
        <w:rPr>
          <w:lang w:val="en-US"/>
        </w:rPr>
        <w:t xml:space="preserve"> </w:t>
      </w:r>
      <w:r w:rsidR="00012C68">
        <w:rPr>
          <w:lang w:val="en-US"/>
        </w:rPr>
        <w:t xml:space="preserve">for </w:t>
      </w:r>
      <w:r w:rsidRPr="004D255A">
        <w:rPr>
          <w:lang w:val="en-US"/>
        </w:rPr>
        <w:t>understand</w:t>
      </w:r>
      <w:r w:rsidR="00012C68">
        <w:rPr>
          <w:lang w:val="en-US"/>
        </w:rPr>
        <w:t>ing</w:t>
      </w:r>
      <w:r w:rsidRPr="004D255A">
        <w:rPr>
          <w:lang w:val="en-US"/>
        </w:rPr>
        <w:t xml:space="preserve"> the underlying forces behind </w:t>
      </w:r>
      <w:r w:rsidR="00012C68">
        <w:rPr>
          <w:lang w:val="en-US"/>
        </w:rPr>
        <w:t xml:space="preserve">the </w:t>
      </w:r>
      <w:r w:rsidRPr="004D255A">
        <w:rPr>
          <w:lang w:val="en-US"/>
        </w:rPr>
        <w:t>youth labor market problem.</w:t>
      </w:r>
      <w:r w:rsidR="000550B0" w:rsidRPr="004D255A">
        <w:rPr>
          <w:lang w:val="en-US"/>
        </w:rPr>
        <w:t xml:space="preserve"> </w:t>
      </w:r>
      <w:r w:rsidR="004168E4" w:rsidRPr="004D255A">
        <w:rPr>
          <w:lang w:val="en-US"/>
        </w:rPr>
        <w:t>Based on the</w:t>
      </w:r>
      <w:r w:rsidRPr="004D255A">
        <w:rPr>
          <w:lang w:val="en-US"/>
        </w:rPr>
        <w:t xml:space="preserve"> </w:t>
      </w:r>
      <w:r w:rsidR="004168E4" w:rsidRPr="004D255A">
        <w:rPr>
          <w:lang w:val="en-US"/>
        </w:rPr>
        <w:t>collection of results in the volume</w:t>
      </w:r>
      <w:r w:rsidRPr="004D255A">
        <w:rPr>
          <w:lang w:val="en-US"/>
        </w:rPr>
        <w:t xml:space="preserve"> </w:t>
      </w:r>
      <w:r w:rsidR="004168E4" w:rsidRPr="004D255A">
        <w:rPr>
          <w:lang w:val="en-US"/>
        </w:rPr>
        <w:t xml:space="preserve">the editors </w:t>
      </w:r>
      <w:r w:rsidRPr="004D255A">
        <w:rPr>
          <w:lang w:val="en-US"/>
        </w:rPr>
        <w:t xml:space="preserve">conclude that </w:t>
      </w:r>
      <w:r w:rsidR="001D1251" w:rsidRPr="004D255A">
        <w:rPr>
          <w:lang w:val="en-US"/>
        </w:rPr>
        <w:t>“Aggregate economic activity was the major determinant of the level of youth jobless in the United States”</w:t>
      </w:r>
      <w:r w:rsidR="0089111B">
        <w:rPr>
          <w:lang w:val="en-US"/>
        </w:rPr>
        <w:t xml:space="preserve">. </w:t>
      </w:r>
      <w:r w:rsidR="000550B0" w:rsidRPr="004D255A">
        <w:rPr>
          <w:lang w:val="en-US"/>
        </w:rPr>
        <w:t xml:space="preserve">Another important conclusion was that </w:t>
      </w:r>
      <w:r w:rsidRPr="004D255A">
        <w:rPr>
          <w:lang w:val="en-US"/>
        </w:rPr>
        <w:t>“severe employment problems were concentrated among a small proportion of youths with distinctive characteristics</w:t>
      </w:r>
      <w:r w:rsidR="000203CA" w:rsidRPr="004D255A">
        <w:rPr>
          <w:lang w:val="en-US"/>
        </w:rPr>
        <w:t>”</w:t>
      </w:r>
      <w:r w:rsidR="0089111B">
        <w:rPr>
          <w:lang w:val="en-US"/>
        </w:rPr>
        <w:t>.</w:t>
      </w:r>
    </w:p>
    <w:p w:rsidR="00F4683C" w:rsidRPr="004D255A" w:rsidRDefault="00B8318C" w:rsidP="00EE5136">
      <w:pPr>
        <w:spacing w:line="360" w:lineRule="auto"/>
        <w:ind w:firstLine="360"/>
        <w:rPr>
          <w:lang w:val="en-US"/>
        </w:rPr>
      </w:pPr>
      <w:r>
        <w:rPr>
          <w:lang w:val="en-US"/>
        </w:rPr>
        <w:t xml:space="preserve">The </w:t>
      </w:r>
      <w:r w:rsidR="000550B0" w:rsidRPr="004D255A">
        <w:rPr>
          <w:lang w:val="en-US"/>
        </w:rPr>
        <w:t xml:space="preserve">volume by </w:t>
      </w:r>
      <w:proofErr w:type="spellStart"/>
      <w:r w:rsidR="000550B0" w:rsidRPr="004D255A">
        <w:rPr>
          <w:lang w:val="en-US"/>
        </w:rPr>
        <w:t>Blanchflower</w:t>
      </w:r>
      <w:proofErr w:type="spellEnd"/>
      <w:r w:rsidR="000550B0" w:rsidRPr="004D255A">
        <w:rPr>
          <w:lang w:val="en-US"/>
        </w:rPr>
        <w:t xml:space="preserve"> and Freeman (2000) validate</w:t>
      </w:r>
      <w:r>
        <w:rPr>
          <w:lang w:val="en-US"/>
        </w:rPr>
        <w:t>s</w:t>
      </w:r>
      <w:r w:rsidR="000550B0" w:rsidRPr="004D255A">
        <w:rPr>
          <w:lang w:val="en-US"/>
        </w:rPr>
        <w:t xml:space="preserve"> both conclusions for a more recent period (</w:t>
      </w:r>
      <w:r>
        <w:rPr>
          <w:lang w:val="en-US"/>
        </w:rPr>
        <w:t xml:space="preserve">the </w:t>
      </w:r>
      <w:r w:rsidR="000550B0" w:rsidRPr="004D255A">
        <w:rPr>
          <w:lang w:val="en-US"/>
        </w:rPr>
        <w:t xml:space="preserve">1990s) and a broader set of </w:t>
      </w:r>
      <w:r w:rsidR="00F4683C" w:rsidRPr="004D255A">
        <w:rPr>
          <w:lang w:val="en-US"/>
        </w:rPr>
        <w:t xml:space="preserve">developed </w:t>
      </w:r>
      <w:r w:rsidR="000550B0" w:rsidRPr="004D255A">
        <w:rPr>
          <w:lang w:val="en-US"/>
        </w:rPr>
        <w:t>countries.</w:t>
      </w:r>
      <w:r w:rsidR="0089111B">
        <w:rPr>
          <w:lang w:val="en-US"/>
        </w:rPr>
        <w:t xml:space="preserve"> The results were further extrapolated by </w:t>
      </w:r>
      <w:r w:rsidR="00F4683C" w:rsidRPr="004D255A">
        <w:rPr>
          <w:lang w:val="en-US"/>
        </w:rPr>
        <w:t>O’Higgins (2003)</w:t>
      </w:r>
      <w:r>
        <w:rPr>
          <w:lang w:val="en-US"/>
        </w:rPr>
        <w:t>,</w:t>
      </w:r>
      <w:r w:rsidR="00F4683C" w:rsidRPr="004D255A">
        <w:rPr>
          <w:lang w:val="en-US"/>
        </w:rPr>
        <w:t xml:space="preserve"> </w:t>
      </w:r>
      <w:r w:rsidR="0089111B">
        <w:rPr>
          <w:lang w:val="en-US"/>
        </w:rPr>
        <w:t xml:space="preserve">who </w:t>
      </w:r>
      <w:r w:rsidR="00F4683C" w:rsidRPr="004D255A">
        <w:rPr>
          <w:lang w:val="en-US"/>
        </w:rPr>
        <w:t>analyses the labor market for youth</w:t>
      </w:r>
      <w:r>
        <w:rPr>
          <w:lang w:val="en-US"/>
        </w:rPr>
        <w:t>s</w:t>
      </w:r>
      <w:r w:rsidR="00F4683C" w:rsidRPr="004D255A">
        <w:rPr>
          <w:lang w:val="en-US"/>
        </w:rPr>
        <w:t xml:space="preserve"> in developing and </w:t>
      </w:r>
      <w:r>
        <w:rPr>
          <w:lang w:val="en-US"/>
        </w:rPr>
        <w:t xml:space="preserve">as well as </w:t>
      </w:r>
      <w:r w:rsidR="00F4683C" w:rsidRPr="004D255A">
        <w:rPr>
          <w:lang w:val="en-US"/>
        </w:rPr>
        <w:t xml:space="preserve">transition economies. The qualitative results are broadly in agreement with those </w:t>
      </w:r>
      <w:r>
        <w:rPr>
          <w:lang w:val="en-US"/>
        </w:rPr>
        <w:t>found</w:t>
      </w:r>
      <w:r w:rsidR="00F4683C" w:rsidRPr="004D255A">
        <w:rPr>
          <w:lang w:val="en-US"/>
        </w:rPr>
        <w:t xml:space="preserve"> for developed countries.</w:t>
      </w:r>
      <w:r w:rsidR="007772CE">
        <w:rPr>
          <w:rStyle w:val="Refdenotaderodap"/>
          <w:lang w:val="en-US"/>
        </w:rPr>
        <w:footnoteReference w:id="3"/>
      </w:r>
    </w:p>
    <w:p w:rsidR="00515198" w:rsidRPr="004D255A" w:rsidRDefault="00515198" w:rsidP="00EE5136">
      <w:pPr>
        <w:spacing w:line="360" w:lineRule="auto"/>
        <w:ind w:firstLine="360"/>
        <w:rPr>
          <w:lang w:val="en-US"/>
        </w:rPr>
      </w:pPr>
      <w:r w:rsidRPr="004D255A">
        <w:rPr>
          <w:lang w:val="en-US"/>
        </w:rPr>
        <w:lastRenderedPageBreak/>
        <w:t>An</w:t>
      </w:r>
      <w:r w:rsidR="0089111B">
        <w:rPr>
          <w:lang w:val="en-US"/>
        </w:rPr>
        <w:t xml:space="preserve"> important </w:t>
      </w:r>
      <w:r w:rsidRPr="004D255A">
        <w:rPr>
          <w:lang w:val="en-US"/>
        </w:rPr>
        <w:t xml:space="preserve">stylized fact </w:t>
      </w:r>
      <w:r w:rsidR="0089111B">
        <w:rPr>
          <w:lang w:val="en-US"/>
        </w:rPr>
        <w:t xml:space="preserve">specific </w:t>
      </w:r>
      <w:r w:rsidR="0030417A">
        <w:rPr>
          <w:lang w:val="en-US"/>
        </w:rPr>
        <w:t xml:space="preserve">to </w:t>
      </w:r>
      <w:r w:rsidRPr="004D255A">
        <w:rPr>
          <w:lang w:val="en-US"/>
        </w:rPr>
        <w:t>developing countries is</w:t>
      </w:r>
      <w:r w:rsidR="00B8318C">
        <w:rPr>
          <w:lang w:val="en-US"/>
        </w:rPr>
        <w:t xml:space="preserve"> the overrepresentation of young</w:t>
      </w:r>
      <w:r w:rsidRPr="004D255A">
        <w:rPr>
          <w:lang w:val="en-US"/>
        </w:rPr>
        <w:t xml:space="preserve"> workers in the informal sector. </w:t>
      </w:r>
      <w:r w:rsidR="00534E27" w:rsidRPr="004D255A">
        <w:rPr>
          <w:lang w:val="en-US"/>
        </w:rPr>
        <w:t xml:space="preserve">See for instance </w:t>
      </w:r>
      <w:proofErr w:type="spellStart"/>
      <w:r w:rsidR="00534E27" w:rsidRPr="004D255A">
        <w:rPr>
          <w:lang w:val="en-US"/>
        </w:rPr>
        <w:t>Saavedra</w:t>
      </w:r>
      <w:proofErr w:type="spellEnd"/>
      <w:r w:rsidR="00534E27" w:rsidRPr="004D255A">
        <w:rPr>
          <w:lang w:val="en-US"/>
        </w:rPr>
        <w:t xml:space="preserve"> and Chong (1999). </w:t>
      </w:r>
      <w:r w:rsidRPr="004D255A">
        <w:rPr>
          <w:lang w:val="en-US"/>
        </w:rPr>
        <w:t xml:space="preserve">This is </w:t>
      </w:r>
      <w:r w:rsidR="00534E27" w:rsidRPr="004D255A">
        <w:rPr>
          <w:lang w:val="en-US"/>
        </w:rPr>
        <w:t xml:space="preserve">also </w:t>
      </w:r>
      <w:r w:rsidR="00B8318C">
        <w:rPr>
          <w:lang w:val="en-US"/>
        </w:rPr>
        <w:t xml:space="preserve">studied </w:t>
      </w:r>
      <w:r w:rsidRPr="004D255A">
        <w:rPr>
          <w:lang w:val="en-US"/>
        </w:rPr>
        <w:t>in Maloney (1999), who associate</w:t>
      </w:r>
      <w:r w:rsidR="00B8318C">
        <w:rPr>
          <w:lang w:val="en-US"/>
        </w:rPr>
        <w:t>s</w:t>
      </w:r>
      <w:r w:rsidRPr="004D255A">
        <w:rPr>
          <w:lang w:val="en-US"/>
        </w:rPr>
        <w:t xml:space="preserve"> this </w:t>
      </w:r>
      <w:r w:rsidR="00B8318C">
        <w:rPr>
          <w:lang w:val="en-US"/>
        </w:rPr>
        <w:t xml:space="preserve">pattern </w:t>
      </w:r>
      <w:r w:rsidR="00802920">
        <w:rPr>
          <w:lang w:val="en-US"/>
        </w:rPr>
        <w:t>to</w:t>
      </w:r>
      <w:r w:rsidR="00B8318C">
        <w:rPr>
          <w:lang w:val="en-US"/>
        </w:rPr>
        <w:t xml:space="preserve"> the finding that </w:t>
      </w:r>
      <w:r w:rsidRPr="004D255A">
        <w:rPr>
          <w:lang w:val="en-US"/>
        </w:rPr>
        <w:t xml:space="preserve">the informal sector </w:t>
      </w:r>
      <w:r w:rsidR="00B8318C">
        <w:rPr>
          <w:lang w:val="en-US"/>
        </w:rPr>
        <w:t xml:space="preserve">tends to be </w:t>
      </w:r>
      <w:r w:rsidRPr="004D255A">
        <w:rPr>
          <w:lang w:val="en-US"/>
        </w:rPr>
        <w:t xml:space="preserve">the entry door for young workers </w:t>
      </w:r>
      <w:r w:rsidR="00B8318C">
        <w:rPr>
          <w:lang w:val="en-US"/>
        </w:rPr>
        <w:t>in</w:t>
      </w:r>
      <w:r w:rsidRPr="004D255A">
        <w:rPr>
          <w:lang w:val="en-US"/>
        </w:rPr>
        <w:t xml:space="preserve"> the labor market.</w:t>
      </w:r>
    </w:p>
    <w:p w:rsidR="00515198" w:rsidRPr="004D255A" w:rsidRDefault="00A2694A" w:rsidP="00EE5136">
      <w:pPr>
        <w:spacing w:line="360" w:lineRule="auto"/>
        <w:ind w:firstLine="360"/>
        <w:rPr>
          <w:lang w:val="en-US"/>
        </w:rPr>
      </w:pPr>
      <w:r w:rsidRPr="004D255A">
        <w:rPr>
          <w:lang w:val="en-US"/>
        </w:rPr>
        <w:t xml:space="preserve">A somewhat related trend of using </w:t>
      </w:r>
      <w:r w:rsidR="00CF45FE" w:rsidRPr="004D255A">
        <w:rPr>
          <w:lang w:val="en-US"/>
        </w:rPr>
        <w:t>non-standard</w:t>
      </w:r>
      <w:r w:rsidRPr="004D255A">
        <w:rPr>
          <w:lang w:val="en-US"/>
        </w:rPr>
        <w:t xml:space="preserve"> jobs as </w:t>
      </w:r>
      <w:r w:rsidR="00230B41">
        <w:rPr>
          <w:lang w:val="en-US"/>
        </w:rPr>
        <w:t xml:space="preserve">an </w:t>
      </w:r>
      <w:r w:rsidRPr="004D255A">
        <w:rPr>
          <w:lang w:val="en-US"/>
        </w:rPr>
        <w:t xml:space="preserve">entry door for young workers </w:t>
      </w:r>
      <w:r w:rsidR="001B5AB8">
        <w:rPr>
          <w:lang w:val="en-US"/>
        </w:rPr>
        <w:t>has been</w:t>
      </w:r>
      <w:r w:rsidRPr="004D255A">
        <w:rPr>
          <w:lang w:val="en-US"/>
        </w:rPr>
        <w:t xml:space="preserve"> documented </w:t>
      </w:r>
      <w:r w:rsidR="001B5AB8">
        <w:rPr>
          <w:lang w:val="en-US"/>
        </w:rPr>
        <w:t>recently</w:t>
      </w:r>
      <w:r w:rsidRPr="004D255A">
        <w:rPr>
          <w:lang w:val="en-US"/>
        </w:rPr>
        <w:t xml:space="preserve"> for EU countries with respect to temporary contracts</w:t>
      </w:r>
      <w:r w:rsidR="009062FA" w:rsidRPr="004D255A">
        <w:rPr>
          <w:lang w:val="en-US"/>
        </w:rPr>
        <w:t>.</w:t>
      </w:r>
      <w:r w:rsidR="00515198" w:rsidRPr="004D255A">
        <w:rPr>
          <w:lang w:val="en-US"/>
        </w:rPr>
        <w:t xml:space="preserve"> </w:t>
      </w:r>
      <w:r w:rsidR="001B5AB8">
        <w:rPr>
          <w:lang w:val="en-US"/>
        </w:rPr>
        <w:t>Evidence on this can be fou</w:t>
      </w:r>
      <w:r w:rsidR="009062FA" w:rsidRPr="004D255A">
        <w:rPr>
          <w:lang w:val="en-US"/>
        </w:rPr>
        <w:t xml:space="preserve">nd either in O’Higgins (2012) or </w:t>
      </w:r>
      <w:r w:rsidR="001B5AB8">
        <w:rPr>
          <w:lang w:val="en-US"/>
        </w:rPr>
        <w:t xml:space="preserve">in </w:t>
      </w:r>
      <w:r w:rsidR="00515198" w:rsidRPr="004D255A">
        <w:rPr>
          <w:lang w:val="en-US"/>
        </w:rPr>
        <w:t xml:space="preserve">OECD </w:t>
      </w:r>
      <w:r w:rsidR="009062FA" w:rsidRPr="004D255A">
        <w:rPr>
          <w:lang w:val="en-US"/>
        </w:rPr>
        <w:t>(</w:t>
      </w:r>
      <w:r w:rsidR="00515198" w:rsidRPr="004D255A">
        <w:rPr>
          <w:lang w:val="en-US"/>
        </w:rPr>
        <w:t>2012)</w:t>
      </w:r>
      <w:r w:rsidR="009062FA" w:rsidRPr="004D255A">
        <w:rPr>
          <w:lang w:val="en-US"/>
        </w:rPr>
        <w:t>.</w:t>
      </w:r>
      <w:r w:rsidR="00CF45FE" w:rsidRPr="004D255A">
        <w:rPr>
          <w:lang w:val="en-US"/>
        </w:rPr>
        <w:t xml:space="preserve"> </w:t>
      </w:r>
      <w:r w:rsidR="00802920">
        <w:rPr>
          <w:lang w:val="en-US"/>
        </w:rPr>
        <w:t>B</w:t>
      </w:r>
      <w:r w:rsidR="00CF45FE" w:rsidRPr="004D255A">
        <w:rPr>
          <w:lang w:val="en-US"/>
        </w:rPr>
        <w:t xml:space="preserve">oth studies mention that the use of such contracts </w:t>
      </w:r>
      <w:r w:rsidR="00230B41">
        <w:rPr>
          <w:lang w:val="en-US"/>
        </w:rPr>
        <w:t xml:space="preserve">to hire youths </w:t>
      </w:r>
      <w:r w:rsidR="00CF45FE" w:rsidRPr="004D255A">
        <w:rPr>
          <w:lang w:val="en-US"/>
        </w:rPr>
        <w:t>increase</w:t>
      </w:r>
      <w:r w:rsidR="001B5AB8">
        <w:rPr>
          <w:lang w:val="en-US"/>
        </w:rPr>
        <w:t xml:space="preserve">d </w:t>
      </w:r>
      <w:r w:rsidR="00230B41">
        <w:rPr>
          <w:lang w:val="en-US"/>
        </w:rPr>
        <w:t xml:space="preserve">in the </w:t>
      </w:r>
      <w:r w:rsidR="00CF45FE" w:rsidRPr="004D255A">
        <w:rPr>
          <w:lang w:val="en-US"/>
        </w:rPr>
        <w:t xml:space="preserve">last decade and </w:t>
      </w:r>
      <w:r w:rsidR="00230B41">
        <w:rPr>
          <w:lang w:val="en-US"/>
        </w:rPr>
        <w:t xml:space="preserve">carried on into </w:t>
      </w:r>
      <w:r w:rsidR="00CF45FE" w:rsidRPr="004D255A">
        <w:rPr>
          <w:lang w:val="en-US"/>
        </w:rPr>
        <w:t>the recent economic downturn.</w:t>
      </w:r>
    </w:p>
    <w:p w:rsidR="00EA48E3" w:rsidRDefault="00EA48E3" w:rsidP="00EE5136">
      <w:pPr>
        <w:spacing w:line="360" w:lineRule="auto"/>
        <w:ind w:firstLine="360"/>
        <w:rPr>
          <w:lang w:val="en-US"/>
        </w:rPr>
      </w:pPr>
      <w:r w:rsidRPr="004D255A">
        <w:rPr>
          <w:lang w:val="en-US"/>
        </w:rPr>
        <w:t xml:space="preserve">The recent economic downturn </w:t>
      </w:r>
      <w:r w:rsidR="001B5AB8">
        <w:rPr>
          <w:lang w:val="en-US"/>
        </w:rPr>
        <w:t xml:space="preserve">also </w:t>
      </w:r>
      <w:r w:rsidRPr="004D255A">
        <w:rPr>
          <w:lang w:val="en-US"/>
        </w:rPr>
        <w:t xml:space="preserve">motivated </w:t>
      </w:r>
      <w:r w:rsidR="00762B28" w:rsidRPr="004D255A">
        <w:rPr>
          <w:lang w:val="en-US"/>
        </w:rPr>
        <w:t>novel</w:t>
      </w:r>
      <w:r w:rsidRPr="004D255A">
        <w:rPr>
          <w:lang w:val="en-US"/>
        </w:rPr>
        <w:t xml:space="preserve"> contributions </w:t>
      </w:r>
      <w:r w:rsidR="00762B28" w:rsidRPr="004D255A">
        <w:rPr>
          <w:lang w:val="en-US"/>
        </w:rPr>
        <w:t>claiming</w:t>
      </w:r>
      <w:r w:rsidR="00230B41">
        <w:rPr>
          <w:lang w:val="en-US"/>
        </w:rPr>
        <w:t xml:space="preserve"> that young</w:t>
      </w:r>
      <w:r w:rsidRPr="004D255A">
        <w:rPr>
          <w:lang w:val="en-US"/>
        </w:rPr>
        <w:t xml:space="preserve"> workers are relatively more sensible to negative economic shocks. See for instance Bell and </w:t>
      </w:r>
      <w:proofErr w:type="spellStart"/>
      <w:r w:rsidRPr="004D255A">
        <w:rPr>
          <w:lang w:val="en-US"/>
        </w:rPr>
        <w:t>Blanchflower</w:t>
      </w:r>
      <w:proofErr w:type="spellEnd"/>
      <w:r w:rsidRPr="004D255A">
        <w:rPr>
          <w:lang w:val="en-US"/>
        </w:rPr>
        <w:t xml:space="preserve"> (2011)</w:t>
      </w:r>
      <w:r w:rsidR="00F4683C" w:rsidRPr="004D255A">
        <w:rPr>
          <w:lang w:val="en-US"/>
        </w:rPr>
        <w:t xml:space="preserve"> and O’Higgins (2012)</w:t>
      </w:r>
      <w:r w:rsidRPr="004D255A">
        <w:rPr>
          <w:lang w:val="en-US"/>
        </w:rPr>
        <w:t>.</w:t>
      </w:r>
    </w:p>
    <w:p w:rsidR="00DD0B5E" w:rsidRDefault="00DD0B5E" w:rsidP="00EE5136">
      <w:pPr>
        <w:spacing w:line="360" w:lineRule="auto"/>
        <w:ind w:firstLine="360"/>
        <w:rPr>
          <w:lang w:val="en-US"/>
        </w:rPr>
      </w:pPr>
      <w:r>
        <w:rPr>
          <w:lang w:val="en-US"/>
        </w:rPr>
        <w:t xml:space="preserve">Another minor part of the literature proposes a different track to analyze the youth </w:t>
      </w:r>
      <w:r w:rsidR="00230B41">
        <w:rPr>
          <w:lang w:val="en-US"/>
        </w:rPr>
        <w:t xml:space="preserve">labor market </w:t>
      </w:r>
      <w:r>
        <w:rPr>
          <w:lang w:val="en-US"/>
        </w:rPr>
        <w:t>probl</w:t>
      </w:r>
      <w:r w:rsidR="00230B41">
        <w:rPr>
          <w:lang w:val="en-US"/>
        </w:rPr>
        <w:t xml:space="preserve">em. This </w:t>
      </w:r>
      <w:r>
        <w:rPr>
          <w:lang w:val="en-US"/>
        </w:rPr>
        <w:t xml:space="preserve">track </w:t>
      </w:r>
      <w:r w:rsidR="00FB4EA6">
        <w:rPr>
          <w:lang w:val="en-US"/>
        </w:rPr>
        <w:t>set the stage</w:t>
      </w:r>
      <w:r>
        <w:rPr>
          <w:lang w:val="en-US"/>
        </w:rPr>
        <w:t xml:space="preserve"> for the flow approach. </w:t>
      </w:r>
      <w:r w:rsidRPr="001B5AB8">
        <w:rPr>
          <w:lang w:val="en-US"/>
        </w:rPr>
        <w:t xml:space="preserve">Leighton and Mincer (1982) </w:t>
      </w:r>
      <w:r w:rsidR="00207D5D">
        <w:rPr>
          <w:lang w:val="en-US"/>
        </w:rPr>
        <w:t>can be considered the</w:t>
      </w:r>
      <w:r w:rsidRPr="001B5AB8">
        <w:rPr>
          <w:lang w:val="en-US"/>
        </w:rPr>
        <w:t xml:space="preserve"> turning</w:t>
      </w:r>
      <w:r w:rsidR="00230B41">
        <w:rPr>
          <w:lang w:val="en-US"/>
        </w:rPr>
        <w:t>-</w:t>
      </w:r>
      <w:r w:rsidRPr="001B5AB8">
        <w:rPr>
          <w:lang w:val="en-US"/>
        </w:rPr>
        <w:t xml:space="preserve">point contribution </w:t>
      </w:r>
      <w:r w:rsidR="00230B41">
        <w:rPr>
          <w:lang w:val="en-US"/>
        </w:rPr>
        <w:t>that inaugurates</w:t>
      </w:r>
      <w:r w:rsidR="00207D5D">
        <w:rPr>
          <w:lang w:val="en-US"/>
        </w:rPr>
        <w:t xml:space="preserve"> this new track</w:t>
      </w:r>
      <w:r w:rsidR="00355B8B">
        <w:rPr>
          <w:lang w:val="en-US"/>
        </w:rPr>
        <w:t>. The authors</w:t>
      </w:r>
      <w:r w:rsidR="00207D5D">
        <w:rPr>
          <w:lang w:val="en-US"/>
        </w:rPr>
        <w:t xml:space="preserve"> decompos</w:t>
      </w:r>
      <w:r w:rsidR="00355B8B">
        <w:rPr>
          <w:lang w:val="en-US"/>
        </w:rPr>
        <w:t>e</w:t>
      </w:r>
      <w:r w:rsidR="00207D5D">
        <w:rPr>
          <w:lang w:val="en-US"/>
        </w:rPr>
        <w:t xml:space="preserve"> </w:t>
      </w:r>
      <w:r w:rsidR="00230B41">
        <w:rPr>
          <w:lang w:val="en-US"/>
        </w:rPr>
        <w:t xml:space="preserve">the </w:t>
      </w:r>
      <w:r w:rsidR="00207D5D">
        <w:rPr>
          <w:lang w:val="en-US"/>
        </w:rPr>
        <w:t xml:space="preserve">unemployment rate by age group in unemployment incidence and duration. </w:t>
      </w:r>
      <w:r w:rsidRPr="001B5AB8">
        <w:rPr>
          <w:lang w:val="en-US"/>
        </w:rPr>
        <w:t xml:space="preserve">They show that </w:t>
      </w:r>
      <w:r w:rsidR="00C3441F">
        <w:rPr>
          <w:lang w:val="en-US"/>
        </w:rPr>
        <w:t xml:space="preserve">the </w:t>
      </w:r>
      <w:r w:rsidRPr="001B5AB8">
        <w:rPr>
          <w:lang w:val="en-US"/>
        </w:rPr>
        <w:t xml:space="preserve">difference in unemployment </w:t>
      </w:r>
      <w:r w:rsidR="00C3441F">
        <w:rPr>
          <w:lang w:val="en-US"/>
        </w:rPr>
        <w:t xml:space="preserve">rates between the groups is mostly due to differences in unemployment </w:t>
      </w:r>
      <w:r w:rsidRPr="001B5AB8">
        <w:rPr>
          <w:lang w:val="en-US"/>
        </w:rPr>
        <w:t>incidence</w:t>
      </w:r>
      <w:r w:rsidR="00C3441F">
        <w:rPr>
          <w:lang w:val="en-US"/>
        </w:rPr>
        <w:t>.</w:t>
      </w:r>
      <w:r w:rsidRPr="001B5AB8">
        <w:rPr>
          <w:lang w:val="en-US"/>
        </w:rPr>
        <w:t xml:space="preserve"> </w:t>
      </w:r>
      <w:r w:rsidR="00355B8B" w:rsidRPr="001B5AB8">
        <w:rPr>
          <w:lang w:val="en-US"/>
        </w:rPr>
        <w:t>Leighton and Mincer (1982)</w:t>
      </w:r>
      <w:r w:rsidR="00355B8B">
        <w:rPr>
          <w:lang w:val="en-US"/>
        </w:rPr>
        <w:t xml:space="preserve"> </w:t>
      </w:r>
      <w:r w:rsidR="00C3441F">
        <w:rPr>
          <w:lang w:val="en-US"/>
        </w:rPr>
        <w:t xml:space="preserve">also </w:t>
      </w:r>
      <w:r w:rsidR="00355B8B" w:rsidRPr="001B5AB8">
        <w:rPr>
          <w:lang w:val="en-US"/>
        </w:rPr>
        <w:t>emphasiz</w:t>
      </w:r>
      <w:r w:rsidR="00355B8B">
        <w:rPr>
          <w:lang w:val="en-US"/>
        </w:rPr>
        <w:t>e</w:t>
      </w:r>
      <w:r w:rsidR="00355B8B" w:rsidRPr="001B5AB8">
        <w:rPr>
          <w:lang w:val="en-US"/>
        </w:rPr>
        <w:t xml:space="preserve"> labor turnover as the </w:t>
      </w:r>
      <w:r w:rsidR="00C3441F">
        <w:rPr>
          <w:lang w:val="en-US"/>
        </w:rPr>
        <w:t xml:space="preserve">most important dimension </w:t>
      </w:r>
      <w:r w:rsidR="00355B8B" w:rsidRPr="001B5AB8">
        <w:rPr>
          <w:lang w:val="en-US"/>
        </w:rPr>
        <w:t>for analyzing the relationship between age and unemployment.</w:t>
      </w:r>
    </w:p>
    <w:p w:rsidR="00FB4EA6" w:rsidRDefault="00802920" w:rsidP="00EE5136">
      <w:pPr>
        <w:spacing w:line="360" w:lineRule="auto"/>
        <w:ind w:firstLine="360"/>
        <w:rPr>
          <w:lang w:val="en-US"/>
        </w:rPr>
      </w:pPr>
      <w:r>
        <w:rPr>
          <w:lang w:val="en-US"/>
        </w:rPr>
        <w:t xml:space="preserve">Following the same track </w:t>
      </w:r>
      <w:r w:rsidR="008C1A1A" w:rsidRPr="001B5AB8">
        <w:rPr>
          <w:lang w:val="en-US"/>
        </w:rPr>
        <w:t>O’Higgins (2001)</w:t>
      </w:r>
      <w:r w:rsidR="00355B8B">
        <w:rPr>
          <w:lang w:val="en-US"/>
        </w:rPr>
        <w:t xml:space="preserve"> </w:t>
      </w:r>
      <w:r w:rsidR="00FB4EA6">
        <w:rPr>
          <w:lang w:val="en-US"/>
        </w:rPr>
        <w:t>focus</w:t>
      </w:r>
      <w:r w:rsidR="00C3441F">
        <w:rPr>
          <w:lang w:val="en-US"/>
        </w:rPr>
        <w:t>es</w:t>
      </w:r>
      <w:r w:rsidR="00FB4EA6">
        <w:rPr>
          <w:lang w:val="en-US"/>
        </w:rPr>
        <w:t xml:space="preserve"> on unemployment duration. The author </w:t>
      </w:r>
      <w:r w:rsidR="008C1A1A" w:rsidRPr="001B5AB8">
        <w:rPr>
          <w:lang w:val="en-US"/>
        </w:rPr>
        <w:t>claim</w:t>
      </w:r>
      <w:r w:rsidR="00FB4EA6">
        <w:rPr>
          <w:lang w:val="en-US"/>
        </w:rPr>
        <w:t>s</w:t>
      </w:r>
      <w:r w:rsidR="008C1A1A" w:rsidRPr="001B5AB8">
        <w:rPr>
          <w:lang w:val="en-US"/>
        </w:rPr>
        <w:t xml:space="preserve"> that short unemployment</w:t>
      </w:r>
      <w:r>
        <w:rPr>
          <w:lang w:val="en-US"/>
        </w:rPr>
        <w:t xml:space="preserve"> spells</w:t>
      </w:r>
      <w:r w:rsidR="008C1A1A" w:rsidRPr="001B5AB8">
        <w:rPr>
          <w:lang w:val="en-US"/>
        </w:rPr>
        <w:t xml:space="preserve"> tend not to be harmful for young workers’ prospects in labor market, but long term unemployment is.</w:t>
      </w:r>
      <w:r w:rsidR="00FB4EA6">
        <w:rPr>
          <w:rStyle w:val="Refdenotaderodap"/>
          <w:lang w:val="en-US"/>
        </w:rPr>
        <w:footnoteReference w:id="4"/>
      </w:r>
      <w:r w:rsidR="00FB4EA6">
        <w:rPr>
          <w:lang w:val="en-US"/>
        </w:rPr>
        <w:t xml:space="preserve"> </w:t>
      </w:r>
    </w:p>
    <w:p w:rsidR="00FB4EA6" w:rsidRDefault="00FB4EA6" w:rsidP="00EE5136">
      <w:pPr>
        <w:spacing w:line="360" w:lineRule="auto"/>
        <w:ind w:firstLine="360"/>
        <w:rPr>
          <w:lang w:val="en-US"/>
        </w:rPr>
      </w:pPr>
      <w:r>
        <w:rPr>
          <w:lang w:val="en-US"/>
        </w:rPr>
        <w:t xml:space="preserve">As higher unemployment duration can be a consequence of either a burst in separations or </w:t>
      </w:r>
      <w:r w:rsidR="00C3441F">
        <w:rPr>
          <w:lang w:val="en-US"/>
        </w:rPr>
        <w:t>a</w:t>
      </w:r>
      <w:r w:rsidR="00802920">
        <w:rPr>
          <w:lang w:val="en-US"/>
        </w:rPr>
        <w:t xml:space="preserve"> drop</w:t>
      </w:r>
      <w:r w:rsidR="00C3441F">
        <w:rPr>
          <w:lang w:val="en-US"/>
        </w:rPr>
        <w:t xml:space="preserve"> in </w:t>
      </w:r>
      <w:proofErr w:type="spellStart"/>
      <w:r w:rsidR="00C3441F">
        <w:rPr>
          <w:lang w:val="en-US"/>
        </w:rPr>
        <w:t>hirings</w:t>
      </w:r>
      <w:proofErr w:type="spellEnd"/>
      <w:r>
        <w:rPr>
          <w:lang w:val="en-US"/>
        </w:rPr>
        <w:t>, the flow approach arises as a natural</w:t>
      </w:r>
      <w:r w:rsidR="008C1A1A" w:rsidRPr="001B5AB8">
        <w:rPr>
          <w:lang w:val="en-US"/>
        </w:rPr>
        <w:t xml:space="preserve"> </w:t>
      </w:r>
      <w:r w:rsidR="00EE5136">
        <w:rPr>
          <w:lang w:val="en-US"/>
        </w:rPr>
        <w:t xml:space="preserve">direction to </w:t>
      </w:r>
      <w:r>
        <w:rPr>
          <w:lang w:val="en-US"/>
        </w:rPr>
        <w:t xml:space="preserve">understand the youth labor market problem. </w:t>
      </w:r>
      <w:r w:rsidR="00E07D9C">
        <w:rPr>
          <w:lang w:val="en-US"/>
        </w:rPr>
        <w:t>This is the direction that we pursue in this paper.</w:t>
      </w:r>
    </w:p>
    <w:p w:rsidR="00F20895" w:rsidRPr="00FB4EA6" w:rsidRDefault="00F20895" w:rsidP="00EE5136">
      <w:pPr>
        <w:spacing w:line="360" w:lineRule="auto"/>
        <w:ind w:firstLine="360"/>
        <w:rPr>
          <w:lang w:val="en-US"/>
        </w:rPr>
      </w:pPr>
    </w:p>
    <w:p w:rsidR="003555D2" w:rsidRDefault="00DE346C" w:rsidP="00586A05">
      <w:pPr>
        <w:spacing w:line="360" w:lineRule="auto"/>
        <w:rPr>
          <w:i/>
          <w:lang w:val="en-US"/>
        </w:rPr>
      </w:pPr>
      <w:r>
        <w:rPr>
          <w:i/>
          <w:lang w:val="en-US"/>
        </w:rPr>
        <w:lastRenderedPageBreak/>
        <w:t xml:space="preserve">2.2. </w:t>
      </w:r>
      <w:r w:rsidR="003555D2">
        <w:rPr>
          <w:i/>
          <w:lang w:val="en-US"/>
        </w:rPr>
        <w:t xml:space="preserve">Youth Labor Market Trends based on stock measures </w:t>
      </w:r>
    </w:p>
    <w:p w:rsidR="00E07D9C" w:rsidRDefault="00E07D9C" w:rsidP="00811463">
      <w:pPr>
        <w:spacing w:line="360" w:lineRule="auto"/>
        <w:ind w:firstLine="708"/>
        <w:rPr>
          <w:lang w:val="en-US"/>
        </w:rPr>
      </w:pPr>
      <w:r>
        <w:rPr>
          <w:lang w:val="en-US"/>
        </w:rPr>
        <w:t xml:space="preserve">Before presenting our flow analysis based on Brazilian matched employer-employee data, we will briefly report in this section some evidence that </w:t>
      </w:r>
      <w:r w:rsidR="00C3441F">
        <w:rPr>
          <w:lang w:val="en-US"/>
        </w:rPr>
        <w:t xml:space="preserve">the </w:t>
      </w:r>
      <w:r>
        <w:rPr>
          <w:lang w:val="en-US"/>
        </w:rPr>
        <w:t>Brazilian labor market does not depart from the general trend summarized above. In particular we want to see if the trend of higher unemployment and higher informality for youth</w:t>
      </w:r>
      <w:r w:rsidR="00C3441F">
        <w:rPr>
          <w:lang w:val="en-US"/>
        </w:rPr>
        <w:t>s</w:t>
      </w:r>
      <w:r>
        <w:rPr>
          <w:lang w:val="en-US"/>
        </w:rPr>
        <w:t xml:space="preserve"> </w:t>
      </w:r>
      <w:r w:rsidR="00C3441F">
        <w:rPr>
          <w:lang w:val="en-US"/>
        </w:rPr>
        <w:t>appear</w:t>
      </w:r>
      <w:r>
        <w:rPr>
          <w:lang w:val="en-US"/>
        </w:rPr>
        <w:t xml:space="preserve"> in </w:t>
      </w:r>
      <w:r w:rsidR="00C3441F">
        <w:rPr>
          <w:lang w:val="en-US"/>
        </w:rPr>
        <w:t xml:space="preserve">the </w:t>
      </w:r>
      <w:r>
        <w:rPr>
          <w:lang w:val="en-US"/>
        </w:rPr>
        <w:t xml:space="preserve">Brazilian </w:t>
      </w:r>
      <w:r w:rsidR="003E7573">
        <w:rPr>
          <w:lang w:val="en-US"/>
        </w:rPr>
        <w:t>household surveys</w:t>
      </w:r>
      <w:r>
        <w:rPr>
          <w:lang w:val="en-US"/>
        </w:rPr>
        <w:t>.</w:t>
      </w:r>
      <w:r w:rsidR="000068D0" w:rsidRPr="000068D0">
        <w:rPr>
          <w:lang w:val="en-US"/>
        </w:rPr>
        <w:t xml:space="preserve"> </w:t>
      </w:r>
      <w:r w:rsidR="000068D0">
        <w:rPr>
          <w:lang w:val="en-US"/>
        </w:rPr>
        <w:t>Throughout the paper, youths are all workers younger than 24 years old (inclusive) and adults are all workers above that threshold age.</w:t>
      </w:r>
    </w:p>
    <w:p w:rsidR="00E07D9C" w:rsidRDefault="00802920" w:rsidP="000068D0">
      <w:pPr>
        <w:spacing w:line="360" w:lineRule="auto"/>
        <w:rPr>
          <w:lang w:val="en-US"/>
        </w:rPr>
      </w:pPr>
      <w:r>
        <w:rPr>
          <w:lang w:val="en-US"/>
        </w:rPr>
        <w:t>This section only</w:t>
      </w:r>
      <w:r w:rsidR="00E07D9C">
        <w:rPr>
          <w:lang w:val="en-US"/>
        </w:rPr>
        <w:t xml:space="preserve"> we rely on </w:t>
      </w:r>
      <w:r w:rsidR="003E7573">
        <w:rPr>
          <w:lang w:val="en-US"/>
        </w:rPr>
        <w:t xml:space="preserve">the main Brazilian </w:t>
      </w:r>
      <w:r w:rsidR="00E07D9C">
        <w:rPr>
          <w:lang w:val="en-US"/>
        </w:rPr>
        <w:t>household survey (</w:t>
      </w:r>
      <w:proofErr w:type="spellStart"/>
      <w:r w:rsidR="003E7573">
        <w:rPr>
          <w:lang w:val="en-US"/>
        </w:rPr>
        <w:t>Pesquisa</w:t>
      </w:r>
      <w:proofErr w:type="spellEnd"/>
      <w:r w:rsidR="003E7573">
        <w:rPr>
          <w:lang w:val="en-US"/>
        </w:rPr>
        <w:t xml:space="preserve"> </w:t>
      </w:r>
      <w:proofErr w:type="spellStart"/>
      <w:r w:rsidR="003E7573">
        <w:rPr>
          <w:lang w:val="en-US"/>
        </w:rPr>
        <w:t>Nacional</w:t>
      </w:r>
      <w:proofErr w:type="spellEnd"/>
      <w:r w:rsidR="003E7573">
        <w:rPr>
          <w:lang w:val="en-US"/>
        </w:rPr>
        <w:t xml:space="preserve"> de </w:t>
      </w:r>
      <w:proofErr w:type="spellStart"/>
      <w:r w:rsidR="003E7573">
        <w:rPr>
          <w:lang w:val="en-US"/>
        </w:rPr>
        <w:t>Amostra</w:t>
      </w:r>
      <w:proofErr w:type="spellEnd"/>
      <w:r w:rsidR="003E7573">
        <w:rPr>
          <w:lang w:val="en-US"/>
        </w:rPr>
        <w:t xml:space="preserve"> </w:t>
      </w:r>
      <w:proofErr w:type="spellStart"/>
      <w:r w:rsidR="003E7573">
        <w:rPr>
          <w:lang w:val="en-US"/>
        </w:rPr>
        <w:t>por</w:t>
      </w:r>
      <w:proofErr w:type="spellEnd"/>
      <w:r w:rsidR="003E7573">
        <w:rPr>
          <w:lang w:val="en-US"/>
        </w:rPr>
        <w:t xml:space="preserve"> </w:t>
      </w:r>
      <w:proofErr w:type="spellStart"/>
      <w:r w:rsidR="003E7573">
        <w:rPr>
          <w:lang w:val="en-US"/>
        </w:rPr>
        <w:t>Domicílios</w:t>
      </w:r>
      <w:proofErr w:type="spellEnd"/>
      <w:r w:rsidR="003E7573">
        <w:rPr>
          <w:lang w:val="en-US"/>
        </w:rPr>
        <w:t xml:space="preserve"> - </w:t>
      </w:r>
      <w:r w:rsidR="00E07D9C">
        <w:rPr>
          <w:lang w:val="en-US"/>
        </w:rPr>
        <w:t>PNAD</w:t>
      </w:r>
      <w:r w:rsidR="00E07D9C">
        <w:rPr>
          <w:rStyle w:val="Refdenotaderodap"/>
          <w:lang w:val="en-US"/>
        </w:rPr>
        <w:footnoteReference w:id="5"/>
      </w:r>
      <w:r w:rsidR="00E07D9C">
        <w:rPr>
          <w:lang w:val="en-US"/>
        </w:rPr>
        <w:t xml:space="preserve">) </w:t>
      </w:r>
      <w:r>
        <w:rPr>
          <w:lang w:val="en-US"/>
        </w:rPr>
        <w:t xml:space="preserve">to </w:t>
      </w:r>
      <w:r w:rsidR="003E7573">
        <w:rPr>
          <w:lang w:val="en-US"/>
        </w:rPr>
        <w:t xml:space="preserve">be </w:t>
      </w:r>
      <w:r w:rsidR="00E07D9C">
        <w:rPr>
          <w:lang w:val="en-US"/>
        </w:rPr>
        <w:t xml:space="preserve">able to measure </w:t>
      </w:r>
      <w:r w:rsidR="003E7573">
        <w:rPr>
          <w:lang w:val="en-US"/>
        </w:rPr>
        <w:t xml:space="preserve">the </w:t>
      </w:r>
      <w:r w:rsidR="00E07D9C">
        <w:rPr>
          <w:lang w:val="en-US"/>
        </w:rPr>
        <w:t>unemployment and informality rates.</w:t>
      </w:r>
      <w:r w:rsidR="000068D0" w:rsidRPr="000068D0">
        <w:rPr>
          <w:lang w:val="en-US"/>
        </w:rPr>
        <w:t xml:space="preserve"> </w:t>
      </w:r>
      <w:r>
        <w:rPr>
          <w:lang w:val="en-US"/>
        </w:rPr>
        <w:t>The u</w:t>
      </w:r>
      <w:r w:rsidR="00017D41">
        <w:rPr>
          <w:lang w:val="en-US"/>
        </w:rPr>
        <w:t xml:space="preserve">nemployment rate is computed following </w:t>
      </w:r>
      <w:r w:rsidR="003E7573">
        <w:rPr>
          <w:lang w:val="en-US"/>
        </w:rPr>
        <w:t xml:space="preserve">the </w:t>
      </w:r>
      <w:r w:rsidR="00017D41">
        <w:rPr>
          <w:lang w:val="en-US"/>
        </w:rPr>
        <w:t xml:space="preserve">standard ILO definition, while informality rate is defined as the share of </w:t>
      </w:r>
      <w:r w:rsidR="003E7573">
        <w:rPr>
          <w:lang w:val="en-US"/>
        </w:rPr>
        <w:t xml:space="preserve">employed </w:t>
      </w:r>
      <w:r w:rsidR="00017D41">
        <w:rPr>
          <w:lang w:val="en-US"/>
        </w:rPr>
        <w:t>workers in one of the following</w:t>
      </w:r>
      <w:r w:rsidR="003E7573">
        <w:rPr>
          <w:lang w:val="en-US"/>
        </w:rPr>
        <w:t xml:space="preserve"> categories</w:t>
      </w:r>
      <w:r w:rsidR="00017D41">
        <w:rPr>
          <w:lang w:val="en-US"/>
        </w:rPr>
        <w:t>: i) informal salaried worker, ii) self-employed, iii) non-salaried worker.</w:t>
      </w:r>
      <w:r w:rsidR="000068D0" w:rsidRPr="000068D0">
        <w:rPr>
          <w:lang w:val="en-US"/>
        </w:rPr>
        <w:t xml:space="preserve"> </w:t>
      </w:r>
      <w:r w:rsidR="000068D0">
        <w:rPr>
          <w:lang w:val="en-US"/>
        </w:rPr>
        <w:t xml:space="preserve">We use data from 1996 to 2011, </w:t>
      </w:r>
      <w:r w:rsidR="003E7573">
        <w:rPr>
          <w:lang w:val="en-US"/>
        </w:rPr>
        <w:t xml:space="preserve">a period </w:t>
      </w:r>
      <w:r w:rsidR="000068D0">
        <w:rPr>
          <w:lang w:val="en-US"/>
        </w:rPr>
        <w:t xml:space="preserve">which comprises two distinct phases of </w:t>
      </w:r>
      <w:r w:rsidR="003E7573">
        <w:rPr>
          <w:lang w:val="en-US"/>
        </w:rPr>
        <w:t xml:space="preserve">the </w:t>
      </w:r>
      <w:r w:rsidR="000068D0">
        <w:rPr>
          <w:lang w:val="en-US"/>
        </w:rPr>
        <w:t xml:space="preserve">Brazilian labor market. Before 2003 both unemployment and informality </w:t>
      </w:r>
      <w:r w:rsidR="003E7573">
        <w:rPr>
          <w:lang w:val="en-US"/>
        </w:rPr>
        <w:t xml:space="preserve">showed </w:t>
      </w:r>
      <w:r w:rsidR="000068D0">
        <w:rPr>
          <w:lang w:val="en-US"/>
        </w:rPr>
        <w:t xml:space="preserve">either upward trends or stagnation </w:t>
      </w:r>
      <w:r w:rsidR="003E7573">
        <w:rPr>
          <w:lang w:val="en-US"/>
        </w:rPr>
        <w:t xml:space="preserve">at </w:t>
      </w:r>
      <w:r w:rsidR="000068D0">
        <w:rPr>
          <w:lang w:val="en-US"/>
        </w:rPr>
        <w:t>a relatively high level. Later there is a sharp declining trend on both indicators.</w:t>
      </w:r>
    </w:p>
    <w:p w:rsidR="00811463" w:rsidRDefault="00F67CA1" w:rsidP="00811463">
      <w:pPr>
        <w:spacing w:line="360" w:lineRule="auto"/>
        <w:ind w:firstLine="708"/>
        <w:rPr>
          <w:lang w:val="en-US"/>
        </w:rPr>
      </w:pPr>
      <w:r>
        <w:rPr>
          <w:lang w:val="en-US"/>
        </w:rPr>
        <w:t>Indeed</w:t>
      </w:r>
      <w:r w:rsidR="003E7573">
        <w:rPr>
          <w:lang w:val="en-US"/>
        </w:rPr>
        <w:t>,</w:t>
      </w:r>
      <w:r>
        <w:rPr>
          <w:lang w:val="en-US"/>
        </w:rPr>
        <w:t xml:space="preserve"> y</w:t>
      </w:r>
      <w:r w:rsidR="00811463">
        <w:rPr>
          <w:lang w:val="en-US"/>
        </w:rPr>
        <w:t xml:space="preserve">outh labor market </w:t>
      </w:r>
      <w:r>
        <w:rPr>
          <w:lang w:val="en-US"/>
        </w:rPr>
        <w:t>indicators</w:t>
      </w:r>
      <w:r w:rsidR="00811463">
        <w:rPr>
          <w:lang w:val="en-US"/>
        </w:rPr>
        <w:t xml:space="preserve"> differ sharply from the adult </w:t>
      </w:r>
      <w:r>
        <w:rPr>
          <w:lang w:val="en-US"/>
        </w:rPr>
        <w:t>ones</w:t>
      </w:r>
      <w:r w:rsidR="00811463">
        <w:rPr>
          <w:lang w:val="en-US"/>
        </w:rPr>
        <w:t xml:space="preserve"> regarding inform</w:t>
      </w:r>
      <w:r w:rsidR="003E7573">
        <w:rPr>
          <w:lang w:val="en-US"/>
        </w:rPr>
        <w:t>ality and unemployment. Figure 1</w:t>
      </w:r>
      <w:r w:rsidR="00811463">
        <w:rPr>
          <w:lang w:val="en-US"/>
        </w:rPr>
        <w:t xml:space="preserve"> below shows that</w:t>
      </w:r>
      <w:r w:rsidR="003E7573">
        <w:rPr>
          <w:lang w:val="en-US"/>
        </w:rPr>
        <w:t>:</w:t>
      </w:r>
      <w:r w:rsidR="00811463">
        <w:rPr>
          <w:lang w:val="en-US"/>
        </w:rPr>
        <w:t xml:space="preserve"> while the unemployment rate for </w:t>
      </w:r>
      <w:r w:rsidR="003E7573">
        <w:rPr>
          <w:lang w:val="en-US"/>
        </w:rPr>
        <w:t xml:space="preserve">adult </w:t>
      </w:r>
      <w:r w:rsidR="00811463">
        <w:rPr>
          <w:lang w:val="en-US"/>
        </w:rPr>
        <w:t xml:space="preserve">workers fluctuated </w:t>
      </w:r>
      <w:r w:rsidR="003E7573">
        <w:rPr>
          <w:lang w:val="en-US"/>
        </w:rPr>
        <w:t xml:space="preserve">between 5% and </w:t>
      </w:r>
      <w:r w:rsidR="00811463">
        <w:rPr>
          <w:lang w:val="en-US"/>
        </w:rPr>
        <w:t xml:space="preserve">7% over the fifteen years we cover, the unemployment rate for young workers was 2 to 3 times higher, </w:t>
      </w:r>
      <w:r w:rsidR="00802920">
        <w:rPr>
          <w:lang w:val="en-US"/>
        </w:rPr>
        <w:t xml:space="preserve">ranging </w:t>
      </w:r>
      <w:r w:rsidR="00811463">
        <w:rPr>
          <w:lang w:val="en-US"/>
        </w:rPr>
        <w:t xml:space="preserve">from </w:t>
      </w:r>
      <w:r w:rsidR="00A06789">
        <w:rPr>
          <w:lang w:val="en-US"/>
        </w:rPr>
        <w:t xml:space="preserve">13% to </w:t>
      </w:r>
      <w:r w:rsidR="00811463">
        <w:rPr>
          <w:lang w:val="en-US"/>
        </w:rPr>
        <w:t>2</w:t>
      </w:r>
      <w:r w:rsidR="00A06789">
        <w:rPr>
          <w:lang w:val="en-US"/>
        </w:rPr>
        <w:t xml:space="preserve">1%. </w:t>
      </w:r>
      <w:r w:rsidR="005B76C5">
        <w:rPr>
          <w:lang w:val="en-US"/>
        </w:rPr>
        <w:t>The informality rate</w:t>
      </w:r>
      <w:r w:rsidR="00811463">
        <w:rPr>
          <w:lang w:val="en-US"/>
        </w:rPr>
        <w:t xml:space="preserve"> </w:t>
      </w:r>
      <w:r w:rsidR="005B76C5">
        <w:rPr>
          <w:lang w:val="en-US"/>
        </w:rPr>
        <w:t>is also much higher for youngsters</w:t>
      </w:r>
      <w:r w:rsidR="00811463">
        <w:rPr>
          <w:lang w:val="en-US"/>
        </w:rPr>
        <w:t xml:space="preserve">. The share of </w:t>
      </w:r>
      <w:r w:rsidR="005B76C5">
        <w:rPr>
          <w:lang w:val="en-US"/>
        </w:rPr>
        <w:t xml:space="preserve">informal </w:t>
      </w:r>
      <w:r w:rsidR="00811463">
        <w:rPr>
          <w:lang w:val="en-US"/>
        </w:rPr>
        <w:t>workers peaked in 2002 at 3</w:t>
      </w:r>
      <w:r w:rsidR="005B76C5">
        <w:rPr>
          <w:lang w:val="en-US"/>
        </w:rPr>
        <w:t>4</w:t>
      </w:r>
      <w:r w:rsidR="00811463">
        <w:rPr>
          <w:lang w:val="en-US"/>
        </w:rPr>
        <w:t xml:space="preserve">% for </w:t>
      </w:r>
      <w:r w:rsidR="005B76C5">
        <w:rPr>
          <w:lang w:val="en-US"/>
        </w:rPr>
        <w:t>adult workers and at 52</w:t>
      </w:r>
      <w:r w:rsidR="00811463">
        <w:rPr>
          <w:lang w:val="en-US"/>
        </w:rPr>
        <w:t xml:space="preserve">% for </w:t>
      </w:r>
      <w:r w:rsidR="005B76C5">
        <w:rPr>
          <w:lang w:val="en-US"/>
        </w:rPr>
        <w:t xml:space="preserve">their </w:t>
      </w:r>
      <w:r w:rsidR="00811463">
        <w:rPr>
          <w:lang w:val="en-US"/>
        </w:rPr>
        <w:t>young</w:t>
      </w:r>
      <w:r w:rsidR="005B76C5">
        <w:rPr>
          <w:lang w:val="en-US"/>
        </w:rPr>
        <w:t>er</w:t>
      </w:r>
      <w:r w:rsidR="00811463">
        <w:rPr>
          <w:lang w:val="en-US"/>
        </w:rPr>
        <w:t xml:space="preserve"> </w:t>
      </w:r>
      <w:r w:rsidR="005B76C5">
        <w:rPr>
          <w:lang w:val="en-US"/>
        </w:rPr>
        <w:t>counterparts</w:t>
      </w:r>
      <w:r w:rsidR="00811463">
        <w:rPr>
          <w:lang w:val="en-US"/>
        </w:rPr>
        <w:t xml:space="preserve">. Both age </w:t>
      </w:r>
      <w:r w:rsidR="005B76C5">
        <w:rPr>
          <w:lang w:val="en-US"/>
        </w:rPr>
        <w:t xml:space="preserve">groups </w:t>
      </w:r>
      <w:r w:rsidR="00811463">
        <w:rPr>
          <w:lang w:val="en-US"/>
        </w:rPr>
        <w:t xml:space="preserve">benefited from the formality trend of the </w:t>
      </w:r>
      <w:r w:rsidR="005B76C5">
        <w:rPr>
          <w:lang w:val="en-US"/>
        </w:rPr>
        <w:t>second part of the 2000’</w:t>
      </w:r>
      <w:r w:rsidR="00811463">
        <w:rPr>
          <w:lang w:val="en-US"/>
        </w:rPr>
        <w:t xml:space="preserve">s. But the </w:t>
      </w:r>
      <w:r w:rsidR="005B76C5">
        <w:rPr>
          <w:lang w:val="en-US"/>
        </w:rPr>
        <w:t xml:space="preserve">lowest </w:t>
      </w:r>
      <w:r w:rsidR="00811463">
        <w:rPr>
          <w:lang w:val="en-US"/>
        </w:rPr>
        <w:t xml:space="preserve">informality rate </w:t>
      </w:r>
      <w:r w:rsidR="00FE2884">
        <w:rPr>
          <w:lang w:val="en-US"/>
        </w:rPr>
        <w:t xml:space="preserve">of 37% over the period </w:t>
      </w:r>
      <w:r w:rsidR="00811463">
        <w:rPr>
          <w:lang w:val="en-US"/>
        </w:rPr>
        <w:t>for young workers</w:t>
      </w:r>
      <w:r w:rsidR="00802920">
        <w:rPr>
          <w:lang w:val="en-US"/>
        </w:rPr>
        <w:t>, in 2011,</w:t>
      </w:r>
      <w:r w:rsidR="00811463">
        <w:rPr>
          <w:lang w:val="en-US"/>
        </w:rPr>
        <w:t xml:space="preserve"> </w:t>
      </w:r>
      <w:r w:rsidR="00FE2884">
        <w:rPr>
          <w:lang w:val="en-US"/>
        </w:rPr>
        <w:t>was</w:t>
      </w:r>
      <w:r w:rsidR="00811463">
        <w:rPr>
          <w:lang w:val="en-US"/>
        </w:rPr>
        <w:t xml:space="preserve"> still well above the 26% </w:t>
      </w:r>
      <w:r w:rsidR="00FE2884">
        <w:rPr>
          <w:lang w:val="en-US"/>
        </w:rPr>
        <w:t xml:space="preserve">observed </w:t>
      </w:r>
      <w:r w:rsidR="00811463">
        <w:rPr>
          <w:lang w:val="en-US"/>
        </w:rPr>
        <w:t>minimum for adult workers</w:t>
      </w:r>
      <w:r w:rsidR="00802920">
        <w:rPr>
          <w:lang w:val="en-US"/>
        </w:rPr>
        <w:t xml:space="preserve"> in the same year</w:t>
      </w:r>
      <w:r w:rsidR="00811463">
        <w:rPr>
          <w:lang w:val="en-US"/>
        </w:rPr>
        <w:t>.</w:t>
      </w:r>
    </w:p>
    <w:p w:rsidR="00F20895" w:rsidRDefault="00F20895" w:rsidP="00811463">
      <w:pPr>
        <w:spacing w:line="360" w:lineRule="auto"/>
        <w:ind w:firstLine="708"/>
        <w:rPr>
          <w:lang w:val="en-US"/>
        </w:rPr>
      </w:pPr>
    </w:p>
    <w:p w:rsidR="00F20895" w:rsidRDefault="00F20895" w:rsidP="00811463">
      <w:pPr>
        <w:spacing w:line="360" w:lineRule="auto"/>
        <w:ind w:firstLine="708"/>
        <w:rPr>
          <w:lang w:val="en-US"/>
        </w:rPr>
      </w:pPr>
    </w:p>
    <w:p w:rsidR="00811463" w:rsidRPr="00584640" w:rsidRDefault="00811463" w:rsidP="00811463">
      <w:pPr>
        <w:spacing w:line="360" w:lineRule="auto"/>
        <w:jc w:val="center"/>
        <w:rPr>
          <w:lang w:val="en-US"/>
        </w:rPr>
      </w:pPr>
      <w:r w:rsidRPr="00584640">
        <w:rPr>
          <w:lang w:val="en-US"/>
        </w:rPr>
        <w:lastRenderedPageBreak/>
        <w:t xml:space="preserve">Figure </w:t>
      </w:r>
      <w:r w:rsidR="00FE2884">
        <w:rPr>
          <w:lang w:val="en-US"/>
        </w:rPr>
        <w:t>1</w:t>
      </w:r>
      <w:r w:rsidRPr="00584640">
        <w:rPr>
          <w:lang w:val="en-US"/>
        </w:rPr>
        <w:t xml:space="preserve"> – </w:t>
      </w:r>
      <w:r>
        <w:rPr>
          <w:lang w:val="en-US"/>
        </w:rPr>
        <w:t>Unemployment and informality rates for age groups – 1996-2011</w:t>
      </w:r>
    </w:p>
    <w:p w:rsidR="00811463" w:rsidRPr="00CF63DE" w:rsidRDefault="00811463" w:rsidP="00811463">
      <w:pPr>
        <w:spacing w:line="360" w:lineRule="auto"/>
        <w:jc w:val="center"/>
        <w:rPr>
          <w:lang w:val="en-US"/>
        </w:rPr>
      </w:pPr>
      <w:r>
        <w:rPr>
          <w:noProof/>
        </w:rPr>
        <w:drawing>
          <wp:inline distT="0" distB="0" distL="0" distR="0">
            <wp:extent cx="5354726" cy="3341205"/>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54403" cy="3341004"/>
                    </a:xfrm>
                    <a:prstGeom prst="rect">
                      <a:avLst/>
                    </a:prstGeom>
                    <a:noFill/>
                  </pic:spPr>
                </pic:pic>
              </a:graphicData>
            </a:graphic>
          </wp:inline>
        </w:drawing>
      </w:r>
    </w:p>
    <w:p w:rsidR="00811463" w:rsidRPr="00584640" w:rsidRDefault="00811463" w:rsidP="00811463">
      <w:pPr>
        <w:spacing w:line="360" w:lineRule="auto"/>
        <w:rPr>
          <w:lang w:val="en-US"/>
        </w:rPr>
      </w:pPr>
      <w:r w:rsidRPr="00584640">
        <w:rPr>
          <w:b/>
          <w:sz w:val="20"/>
          <w:lang w:val="en-US"/>
        </w:rPr>
        <w:t>Source</w:t>
      </w:r>
      <w:r w:rsidR="00FE2884">
        <w:rPr>
          <w:sz w:val="20"/>
          <w:lang w:val="en-US"/>
        </w:rPr>
        <w:t>: A</w:t>
      </w:r>
      <w:r w:rsidRPr="00584640">
        <w:rPr>
          <w:sz w:val="20"/>
          <w:lang w:val="en-US"/>
        </w:rPr>
        <w:t xml:space="preserve">uthors´ estimates based on </w:t>
      </w:r>
      <w:r w:rsidR="00E07D9C">
        <w:rPr>
          <w:sz w:val="20"/>
          <w:lang w:val="en-US"/>
        </w:rPr>
        <w:t>PNAD/</w:t>
      </w:r>
      <w:r>
        <w:rPr>
          <w:sz w:val="20"/>
          <w:lang w:val="en-US"/>
        </w:rPr>
        <w:t>IBGE</w:t>
      </w:r>
      <w:r w:rsidRPr="00584640">
        <w:rPr>
          <w:sz w:val="20"/>
          <w:lang w:val="en-US"/>
        </w:rPr>
        <w:t xml:space="preserve"> data.</w:t>
      </w:r>
      <w:r>
        <w:rPr>
          <w:sz w:val="20"/>
          <w:lang w:val="en-US"/>
        </w:rPr>
        <w:t xml:space="preserve"> The nationally representative survey is not carried out in Census years (2000 and 2010).</w:t>
      </w:r>
    </w:p>
    <w:p w:rsidR="00F20895" w:rsidRDefault="00F20895" w:rsidP="00811463">
      <w:pPr>
        <w:spacing w:line="360" w:lineRule="auto"/>
        <w:rPr>
          <w:lang w:val="en-US"/>
        </w:rPr>
      </w:pPr>
    </w:p>
    <w:p w:rsidR="00811463" w:rsidRPr="00F67CA1" w:rsidRDefault="00F67CA1" w:rsidP="00811463">
      <w:pPr>
        <w:spacing w:line="360" w:lineRule="auto"/>
        <w:rPr>
          <w:lang w:val="en-US"/>
        </w:rPr>
      </w:pPr>
      <w:r>
        <w:rPr>
          <w:lang w:val="en-US"/>
        </w:rPr>
        <w:t xml:space="preserve">In sum, </w:t>
      </w:r>
      <w:r w:rsidR="00C83830">
        <w:rPr>
          <w:lang w:val="en-US"/>
        </w:rPr>
        <w:t xml:space="preserve">the </w:t>
      </w:r>
      <w:r>
        <w:rPr>
          <w:lang w:val="en-US"/>
        </w:rPr>
        <w:t xml:space="preserve">Brazilian labor market does seem to follow the general trend </w:t>
      </w:r>
      <w:r w:rsidR="00C83830">
        <w:rPr>
          <w:lang w:val="en-US"/>
        </w:rPr>
        <w:t xml:space="preserve">documented </w:t>
      </w:r>
      <w:r>
        <w:rPr>
          <w:lang w:val="en-US"/>
        </w:rPr>
        <w:t xml:space="preserve">for other </w:t>
      </w:r>
      <w:r w:rsidR="00C83830">
        <w:rPr>
          <w:lang w:val="en-US"/>
        </w:rPr>
        <w:t xml:space="preserve">developing </w:t>
      </w:r>
      <w:r>
        <w:rPr>
          <w:lang w:val="en-US"/>
        </w:rPr>
        <w:t>countries</w:t>
      </w:r>
      <w:r w:rsidR="00C83830">
        <w:rPr>
          <w:lang w:val="en-US"/>
        </w:rPr>
        <w:t xml:space="preserve"> of </w:t>
      </w:r>
      <w:r>
        <w:rPr>
          <w:lang w:val="en-US"/>
        </w:rPr>
        <w:t xml:space="preserve">both </w:t>
      </w:r>
      <w:r w:rsidR="00C83830">
        <w:rPr>
          <w:lang w:val="en-US"/>
        </w:rPr>
        <w:t xml:space="preserve">higher </w:t>
      </w:r>
      <w:r>
        <w:rPr>
          <w:lang w:val="en-US"/>
        </w:rPr>
        <w:t>unemployment and informality</w:t>
      </w:r>
      <w:r w:rsidR="00C83830">
        <w:rPr>
          <w:lang w:val="en-US"/>
        </w:rPr>
        <w:t xml:space="preserve"> rates for youths than for adults</w:t>
      </w:r>
      <w:r>
        <w:rPr>
          <w:lang w:val="en-US"/>
        </w:rPr>
        <w:t xml:space="preserve">. </w:t>
      </w:r>
    </w:p>
    <w:p w:rsidR="00F20895" w:rsidRDefault="00F20895" w:rsidP="005C0D39">
      <w:pPr>
        <w:spacing w:line="360" w:lineRule="auto"/>
        <w:rPr>
          <w:b/>
          <w:lang w:val="en-US"/>
        </w:rPr>
      </w:pPr>
    </w:p>
    <w:p w:rsidR="005C0D39" w:rsidRPr="003555D2" w:rsidRDefault="005C0D39" w:rsidP="005C0D39">
      <w:pPr>
        <w:spacing w:line="360" w:lineRule="auto"/>
        <w:rPr>
          <w:b/>
          <w:lang w:val="en-US"/>
        </w:rPr>
      </w:pPr>
      <w:r w:rsidRPr="003555D2">
        <w:rPr>
          <w:b/>
          <w:lang w:val="en-US"/>
        </w:rPr>
        <w:t>3. Worker flows: the contrast between young and adult workers</w:t>
      </w:r>
    </w:p>
    <w:p w:rsidR="005C0D39" w:rsidRDefault="005C0D39" w:rsidP="005C0D39">
      <w:pPr>
        <w:spacing w:line="360" w:lineRule="auto"/>
        <w:rPr>
          <w:i/>
          <w:lang w:val="en-US"/>
        </w:rPr>
      </w:pPr>
      <w:r>
        <w:rPr>
          <w:i/>
          <w:lang w:val="en-US"/>
        </w:rPr>
        <w:t>3.1. Basic Measures and Data</w:t>
      </w:r>
    </w:p>
    <w:p w:rsidR="005C0D39" w:rsidRPr="00113EF1" w:rsidRDefault="005C0D39" w:rsidP="005C0D39">
      <w:pPr>
        <w:pStyle w:val="TextosemFormatao"/>
        <w:spacing w:after="120" w:line="360" w:lineRule="auto"/>
        <w:jc w:val="both"/>
        <w:rPr>
          <w:rFonts w:ascii="Times New Roman" w:hAnsi="Times New Roman" w:cs="Times New Roman"/>
          <w:sz w:val="24"/>
          <w:szCs w:val="24"/>
          <w:lang w:val="en-US"/>
        </w:rPr>
      </w:pPr>
      <w:r w:rsidRPr="007A5E2F">
        <w:rPr>
          <w:rFonts w:ascii="Times New Roman" w:hAnsi="Times New Roman" w:cs="Times New Roman"/>
          <w:sz w:val="24"/>
          <w:szCs w:val="24"/>
          <w:lang w:val="en-US"/>
        </w:rPr>
        <w:t xml:space="preserve">Our </w:t>
      </w:r>
      <w:r w:rsidR="00420428">
        <w:rPr>
          <w:rFonts w:ascii="Times New Roman" w:hAnsi="Times New Roman" w:cs="Times New Roman"/>
          <w:sz w:val="24"/>
          <w:szCs w:val="24"/>
          <w:lang w:val="en-US"/>
        </w:rPr>
        <w:t xml:space="preserve">main </w:t>
      </w:r>
      <w:r w:rsidRPr="007A5E2F">
        <w:rPr>
          <w:rFonts w:ascii="Times New Roman" w:hAnsi="Times New Roman" w:cs="Times New Roman"/>
          <w:sz w:val="24"/>
          <w:szCs w:val="24"/>
          <w:lang w:val="en-US"/>
        </w:rPr>
        <w:t xml:space="preserve">data </w:t>
      </w:r>
      <w:r w:rsidR="00420428">
        <w:rPr>
          <w:rFonts w:ascii="Times New Roman" w:hAnsi="Times New Roman" w:cs="Times New Roman"/>
          <w:sz w:val="24"/>
          <w:szCs w:val="24"/>
          <w:lang w:val="en-US"/>
        </w:rPr>
        <w:t xml:space="preserve">source </w:t>
      </w:r>
      <w:r w:rsidRPr="007A5E2F">
        <w:rPr>
          <w:rFonts w:ascii="Times New Roman" w:hAnsi="Times New Roman" w:cs="Times New Roman"/>
          <w:sz w:val="24"/>
          <w:szCs w:val="24"/>
          <w:lang w:val="en-US"/>
        </w:rPr>
        <w:t>come</w:t>
      </w:r>
      <w:r w:rsidR="00420428">
        <w:rPr>
          <w:rFonts w:ascii="Times New Roman" w:hAnsi="Times New Roman" w:cs="Times New Roman"/>
          <w:sz w:val="24"/>
          <w:szCs w:val="24"/>
          <w:lang w:val="en-US"/>
        </w:rPr>
        <w:t>s</w:t>
      </w:r>
      <w:r w:rsidRPr="007A5E2F">
        <w:rPr>
          <w:rFonts w:ascii="Times New Roman" w:hAnsi="Times New Roman" w:cs="Times New Roman"/>
          <w:sz w:val="24"/>
          <w:szCs w:val="24"/>
          <w:lang w:val="en-US"/>
        </w:rPr>
        <w:t xml:space="preserve"> from a Brazilian administrative database (</w:t>
      </w:r>
      <w:proofErr w:type="spellStart"/>
      <w:r w:rsidRPr="00F20895">
        <w:rPr>
          <w:rFonts w:ascii="Times New Roman" w:hAnsi="Times New Roman" w:cs="Times New Roman"/>
          <w:i/>
          <w:sz w:val="24"/>
          <w:szCs w:val="24"/>
          <w:lang w:val="en-US"/>
        </w:rPr>
        <w:t>Relação</w:t>
      </w:r>
      <w:proofErr w:type="spellEnd"/>
      <w:r w:rsidRPr="00F20895">
        <w:rPr>
          <w:rFonts w:ascii="Times New Roman" w:hAnsi="Times New Roman" w:cs="Times New Roman"/>
          <w:i/>
          <w:sz w:val="24"/>
          <w:szCs w:val="24"/>
          <w:lang w:val="en-US"/>
        </w:rPr>
        <w:t xml:space="preserve"> </w:t>
      </w:r>
      <w:proofErr w:type="spellStart"/>
      <w:r w:rsidRPr="00F20895">
        <w:rPr>
          <w:rFonts w:ascii="Times New Roman" w:hAnsi="Times New Roman" w:cs="Times New Roman"/>
          <w:i/>
          <w:sz w:val="24"/>
          <w:szCs w:val="24"/>
          <w:lang w:val="en-US"/>
        </w:rPr>
        <w:t>Anual</w:t>
      </w:r>
      <w:proofErr w:type="spellEnd"/>
      <w:r w:rsidRPr="00F20895">
        <w:rPr>
          <w:rFonts w:ascii="Times New Roman" w:hAnsi="Times New Roman" w:cs="Times New Roman"/>
          <w:i/>
          <w:sz w:val="24"/>
          <w:szCs w:val="24"/>
          <w:lang w:val="en-US"/>
        </w:rPr>
        <w:t xml:space="preserve"> de </w:t>
      </w:r>
      <w:proofErr w:type="spellStart"/>
      <w:r w:rsidRPr="00F20895">
        <w:rPr>
          <w:rFonts w:ascii="Times New Roman" w:hAnsi="Times New Roman" w:cs="Times New Roman"/>
          <w:i/>
          <w:sz w:val="24"/>
          <w:szCs w:val="24"/>
          <w:lang w:val="en-US"/>
        </w:rPr>
        <w:t>Informações</w:t>
      </w:r>
      <w:proofErr w:type="spellEnd"/>
      <w:r w:rsidRPr="00F20895">
        <w:rPr>
          <w:rFonts w:ascii="Times New Roman" w:hAnsi="Times New Roman" w:cs="Times New Roman"/>
          <w:i/>
          <w:sz w:val="24"/>
          <w:szCs w:val="24"/>
          <w:lang w:val="en-US"/>
        </w:rPr>
        <w:t xml:space="preserve"> </w:t>
      </w:r>
      <w:proofErr w:type="spellStart"/>
      <w:r w:rsidRPr="00F20895">
        <w:rPr>
          <w:rFonts w:ascii="Times New Roman" w:hAnsi="Times New Roman" w:cs="Times New Roman"/>
          <w:i/>
          <w:sz w:val="24"/>
          <w:szCs w:val="24"/>
          <w:lang w:val="en-US"/>
        </w:rPr>
        <w:t>Sociais</w:t>
      </w:r>
      <w:proofErr w:type="spellEnd"/>
      <w:r w:rsidRPr="00F20895">
        <w:rPr>
          <w:rFonts w:ascii="Times New Roman" w:hAnsi="Times New Roman" w:cs="Times New Roman"/>
          <w:i/>
          <w:sz w:val="24"/>
          <w:szCs w:val="24"/>
          <w:lang w:val="en-US"/>
        </w:rPr>
        <w:t xml:space="preserve"> - RAIS</w:t>
      </w:r>
      <w:r w:rsidRPr="00625472">
        <w:rPr>
          <w:rFonts w:ascii="Times New Roman" w:hAnsi="Times New Roman" w:cs="Times New Roman"/>
          <w:sz w:val="24"/>
          <w:szCs w:val="24"/>
          <w:lang w:val="en-US"/>
        </w:rPr>
        <w:t xml:space="preserve">) </w:t>
      </w:r>
      <w:r w:rsidR="00420428">
        <w:rPr>
          <w:rFonts w:ascii="Times New Roman" w:hAnsi="Times New Roman" w:cs="Times New Roman"/>
          <w:sz w:val="24"/>
          <w:szCs w:val="24"/>
          <w:lang w:val="en-US"/>
        </w:rPr>
        <w:t xml:space="preserve">which is </w:t>
      </w:r>
      <w:r w:rsidRPr="00625472">
        <w:rPr>
          <w:rFonts w:ascii="Times New Roman" w:hAnsi="Times New Roman" w:cs="Times New Roman"/>
          <w:sz w:val="24"/>
          <w:szCs w:val="24"/>
          <w:lang w:val="en-US"/>
        </w:rPr>
        <w:t>maintained by the Brazilian Ministry of</w:t>
      </w:r>
      <w:r>
        <w:rPr>
          <w:rFonts w:ascii="Times New Roman" w:hAnsi="Times New Roman" w:cs="Times New Roman"/>
          <w:sz w:val="24"/>
          <w:szCs w:val="24"/>
          <w:lang w:val="en-US"/>
        </w:rPr>
        <w:t xml:space="preserve"> </w:t>
      </w:r>
      <w:r w:rsidRPr="001F3CB9">
        <w:rPr>
          <w:rFonts w:ascii="Times New Roman" w:hAnsi="Times New Roman" w:cs="Times New Roman"/>
          <w:sz w:val="24"/>
          <w:szCs w:val="24"/>
          <w:lang w:val="en-US"/>
        </w:rPr>
        <w:t>Employment and Labor (</w:t>
      </w:r>
      <w:proofErr w:type="spellStart"/>
      <w:r w:rsidRPr="00F20895">
        <w:rPr>
          <w:rFonts w:ascii="Times New Roman" w:hAnsi="Times New Roman" w:cs="Times New Roman"/>
          <w:i/>
          <w:sz w:val="24"/>
          <w:szCs w:val="24"/>
          <w:lang w:val="en-US"/>
        </w:rPr>
        <w:t>Ministério</w:t>
      </w:r>
      <w:proofErr w:type="spellEnd"/>
      <w:r w:rsidRPr="00F20895">
        <w:rPr>
          <w:rFonts w:ascii="Times New Roman" w:hAnsi="Times New Roman" w:cs="Times New Roman"/>
          <w:i/>
          <w:sz w:val="24"/>
          <w:szCs w:val="24"/>
          <w:lang w:val="en-US"/>
        </w:rPr>
        <w:t xml:space="preserve"> do Trabalho e </w:t>
      </w:r>
      <w:proofErr w:type="spellStart"/>
      <w:r w:rsidRPr="00F20895">
        <w:rPr>
          <w:rFonts w:ascii="Times New Roman" w:hAnsi="Times New Roman" w:cs="Times New Roman"/>
          <w:i/>
          <w:sz w:val="24"/>
          <w:szCs w:val="24"/>
          <w:lang w:val="en-US"/>
        </w:rPr>
        <w:t>Emprego</w:t>
      </w:r>
      <w:proofErr w:type="spellEnd"/>
      <w:r w:rsidRPr="00F20895">
        <w:rPr>
          <w:rFonts w:ascii="Times New Roman" w:hAnsi="Times New Roman" w:cs="Times New Roman"/>
          <w:i/>
          <w:sz w:val="24"/>
          <w:szCs w:val="24"/>
          <w:lang w:val="en-US"/>
        </w:rPr>
        <w:t xml:space="preserve"> – MTE</w:t>
      </w:r>
      <w:r w:rsidRPr="001F3CB9">
        <w:rPr>
          <w:rFonts w:ascii="Times New Roman" w:hAnsi="Times New Roman" w:cs="Times New Roman"/>
          <w:sz w:val="24"/>
          <w:szCs w:val="24"/>
          <w:lang w:val="en-US"/>
        </w:rPr>
        <w:t xml:space="preserve">). </w:t>
      </w:r>
      <w:r w:rsidRPr="00625472">
        <w:rPr>
          <w:rFonts w:ascii="Times New Roman" w:hAnsi="Times New Roman" w:cs="Times New Roman"/>
          <w:sz w:val="24"/>
          <w:szCs w:val="24"/>
          <w:lang w:val="en-US"/>
        </w:rPr>
        <w:t>In Brazil, all registered, tax-paying establishments must send information to the Ministry regarding all</w:t>
      </w:r>
      <w:r>
        <w:rPr>
          <w:rFonts w:ascii="Times New Roman" w:hAnsi="Times New Roman" w:cs="Times New Roman"/>
          <w:sz w:val="24"/>
          <w:szCs w:val="24"/>
          <w:lang w:val="en-US"/>
        </w:rPr>
        <w:t xml:space="preserve"> </w:t>
      </w:r>
      <w:r w:rsidRPr="00625472">
        <w:rPr>
          <w:rFonts w:ascii="Times New Roman" w:hAnsi="Times New Roman" w:cs="Times New Roman"/>
          <w:sz w:val="24"/>
          <w:szCs w:val="24"/>
          <w:lang w:val="en-US"/>
        </w:rPr>
        <w:t>employees who worked anytime during the reference year</w:t>
      </w:r>
      <w:r>
        <w:rPr>
          <w:rFonts w:ascii="Times New Roman" w:hAnsi="Times New Roman" w:cs="Times New Roman"/>
          <w:sz w:val="24"/>
          <w:szCs w:val="24"/>
          <w:lang w:val="en-US"/>
        </w:rPr>
        <w:t>.</w:t>
      </w:r>
      <w:r>
        <w:rPr>
          <w:rStyle w:val="Refdenotaderodap"/>
          <w:sz w:val="24"/>
          <w:szCs w:val="24"/>
          <w:lang w:val="en-US"/>
        </w:rPr>
        <w:footnoteReference w:id="6"/>
      </w:r>
    </w:p>
    <w:p w:rsidR="005C0D39" w:rsidRPr="00625472" w:rsidRDefault="005C0D39" w:rsidP="005C0D39">
      <w:pPr>
        <w:pStyle w:val="TextosemFormatao"/>
        <w:spacing w:line="360" w:lineRule="auto"/>
        <w:jc w:val="both"/>
        <w:rPr>
          <w:rFonts w:ascii="Times New Roman" w:hAnsi="Times New Roman" w:cs="Times New Roman"/>
          <w:sz w:val="24"/>
          <w:szCs w:val="24"/>
          <w:lang w:val="en-US"/>
        </w:rPr>
      </w:pPr>
      <w:r w:rsidRPr="00625472">
        <w:rPr>
          <w:rFonts w:ascii="Times New Roman" w:hAnsi="Times New Roman" w:cs="Times New Roman"/>
          <w:sz w:val="24"/>
          <w:szCs w:val="24"/>
          <w:lang w:val="en-US"/>
        </w:rPr>
        <w:lastRenderedPageBreak/>
        <w:t>RAIS provides matched employer-employee</w:t>
      </w:r>
      <w:r>
        <w:rPr>
          <w:rFonts w:ascii="Times New Roman" w:hAnsi="Times New Roman" w:cs="Times New Roman"/>
          <w:sz w:val="24"/>
          <w:szCs w:val="24"/>
          <w:lang w:val="en-US"/>
        </w:rPr>
        <w:t xml:space="preserve"> </w:t>
      </w:r>
      <w:r w:rsidRPr="00625472">
        <w:rPr>
          <w:rFonts w:ascii="Times New Roman" w:hAnsi="Times New Roman" w:cs="Times New Roman"/>
          <w:sz w:val="24"/>
          <w:szCs w:val="24"/>
          <w:lang w:val="en-US"/>
        </w:rPr>
        <w:t>longitudinal data similar to those available in developed countries.</w:t>
      </w:r>
      <w:r>
        <w:rPr>
          <w:rStyle w:val="Refdenotaderodap"/>
          <w:sz w:val="24"/>
          <w:szCs w:val="24"/>
          <w:lang w:val="en-US"/>
        </w:rPr>
        <w:footnoteReference w:id="7"/>
      </w:r>
      <w:r w:rsidRPr="00625472">
        <w:rPr>
          <w:rFonts w:ascii="Times New Roman" w:hAnsi="Times New Roman" w:cs="Times New Roman"/>
          <w:sz w:val="24"/>
          <w:szCs w:val="24"/>
          <w:lang w:val="en-US"/>
        </w:rPr>
        <w:t xml:space="preserve"> </w:t>
      </w:r>
      <w:r w:rsidR="00EA0FF5">
        <w:rPr>
          <w:rFonts w:ascii="Times New Roman" w:hAnsi="Times New Roman" w:cs="Times New Roman"/>
          <w:sz w:val="24"/>
          <w:szCs w:val="24"/>
          <w:lang w:val="en-US"/>
        </w:rPr>
        <w:t xml:space="preserve">The </w:t>
      </w:r>
      <w:r w:rsidRPr="00625472">
        <w:rPr>
          <w:rFonts w:ascii="Times New Roman" w:hAnsi="Times New Roman" w:cs="Times New Roman"/>
          <w:sz w:val="24"/>
          <w:szCs w:val="24"/>
          <w:lang w:val="en-US"/>
        </w:rPr>
        <w:t>data include</w:t>
      </w:r>
      <w:r>
        <w:rPr>
          <w:rFonts w:ascii="Times New Roman" w:hAnsi="Times New Roman" w:cs="Times New Roman"/>
          <w:sz w:val="24"/>
          <w:szCs w:val="24"/>
          <w:lang w:val="en-US"/>
        </w:rPr>
        <w:t xml:space="preserve"> </w:t>
      </w:r>
      <w:r w:rsidRPr="00625472">
        <w:rPr>
          <w:rFonts w:ascii="Times New Roman" w:hAnsi="Times New Roman" w:cs="Times New Roman"/>
          <w:sz w:val="24"/>
          <w:szCs w:val="24"/>
          <w:lang w:val="en-US"/>
        </w:rPr>
        <w:t>worker</w:t>
      </w:r>
      <w:r w:rsidR="009021DB">
        <w:rPr>
          <w:rFonts w:ascii="Times New Roman" w:hAnsi="Times New Roman" w:cs="Times New Roman"/>
          <w:sz w:val="24"/>
          <w:szCs w:val="24"/>
          <w:lang w:val="en-US"/>
        </w:rPr>
        <w:t xml:space="preserve"> specific information</w:t>
      </w:r>
      <w:r w:rsidRPr="00625472">
        <w:rPr>
          <w:rFonts w:ascii="Times New Roman" w:hAnsi="Times New Roman" w:cs="Times New Roman"/>
          <w:sz w:val="24"/>
          <w:szCs w:val="24"/>
          <w:lang w:val="en-US"/>
        </w:rPr>
        <w:t xml:space="preserve"> (such as gender, age and schooling), establishments (such as location and industry), and contract</w:t>
      </w:r>
      <w:r w:rsidR="009021DB">
        <w:rPr>
          <w:rFonts w:ascii="Times New Roman" w:hAnsi="Times New Roman" w:cs="Times New Roman"/>
          <w:sz w:val="24"/>
          <w:szCs w:val="24"/>
          <w:lang w:val="en-US"/>
        </w:rPr>
        <w:t xml:space="preserve"> information</w:t>
      </w:r>
      <w:r>
        <w:rPr>
          <w:rFonts w:ascii="Times New Roman" w:hAnsi="Times New Roman" w:cs="Times New Roman"/>
          <w:sz w:val="24"/>
          <w:szCs w:val="24"/>
          <w:lang w:val="en-US"/>
        </w:rPr>
        <w:t xml:space="preserve"> </w:t>
      </w:r>
      <w:r w:rsidRPr="00625472">
        <w:rPr>
          <w:rFonts w:ascii="Times New Roman" w:hAnsi="Times New Roman" w:cs="Times New Roman"/>
          <w:sz w:val="24"/>
          <w:szCs w:val="24"/>
          <w:lang w:val="en-US"/>
        </w:rPr>
        <w:t xml:space="preserve">(such as contracted wages, working hours, </w:t>
      </w:r>
      <w:r>
        <w:rPr>
          <w:rFonts w:ascii="Times New Roman" w:hAnsi="Times New Roman" w:cs="Times New Roman"/>
          <w:sz w:val="24"/>
          <w:szCs w:val="24"/>
          <w:lang w:val="en-US"/>
        </w:rPr>
        <w:t xml:space="preserve">types of contract, </w:t>
      </w:r>
      <w:r w:rsidRPr="00625472">
        <w:rPr>
          <w:rFonts w:ascii="Times New Roman" w:hAnsi="Times New Roman" w:cs="Times New Roman"/>
          <w:sz w:val="24"/>
          <w:szCs w:val="24"/>
          <w:lang w:val="en-US"/>
        </w:rPr>
        <w:t>hiring and separation dates,</w:t>
      </w:r>
      <w:r>
        <w:rPr>
          <w:rFonts w:ascii="Times New Roman" w:hAnsi="Times New Roman" w:cs="Times New Roman"/>
          <w:sz w:val="24"/>
          <w:szCs w:val="24"/>
          <w:lang w:val="en-US"/>
        </w:rPr>
        <w:t xml:space="preserve"> </w:t>
      </w:r>
      <w:r w:rsidRPr="00625472">
        <w:rPr>
          <w:rFonts w:ascii="Times New Roman" w:hAnsi="Times New Roman" w:cs="Times New Roman"/>
          <w:sz w:val="24"/>
          <w:szCs w:val="24"/>
          <w:lang w:val="en-US"/>
        </w:rPr>
        <w:t xml:space="preserve">and reasons for </w:t>
      </w:r>
      <w:r>
        <w:rPr>
          <w:rFonts w:ascii="Times New Roman" w:hAnsi="Times New Roman" w:cs="Times New Roman"/>
          <w:sz w:val="24"/>
          <w:szCs w:val="24"/>
          <w:lang w:val="en-US"/>
        </w:rPr>
        <w:t>separation</w:t>
      </w:r>
      <w:r w:rsidRPr="00625472">
        <w:rPr>
          <w:rFonts w:ascii="Times New Roman" w:hAnsi="Times New Roman" w:cs="Times New Roman"/>
          <w:sz w:val="24"/>
          <w:szCs w:val="24"/>
          <w:lang w:val="en-US"/>
        </w:rPr>
        <w:t>).</w:t>
      </w:r>
      <w:r>
        <w:rPr>
          <w:rFonts w:ascii="Times New Roman" w:hAnsi="Times New Roman" w:cs="Times New Roman"/>
          <w:sz w:val="24"/>
          <w:szCs w:val="24"/>
          <w:lang w:val="en-US"/>
        </w:rPr>
        <w:t xml:space="preserve"> In our analysis we make intensive use of the last set of variables.</w:t>
      </w:r>
    </w:p>
    <w:p w:rsidR="005C0D39" w:rsidRDefault="009021DB" w:rsidP="005C0D39">
      <w:pPr>
        <w:spacing w:line="360" w:lineRule="auto"/>
        <w:rPr>
          <w:lang w:val="en-US"/>
        </w:rPr>
      </w:pPr>
      <w:r>
        <w:rPr>
          <w:bCs/>
          <w:lang w:val="en-US"/>
        </w:rPr>
        <w:t>O</w:t>
      </w:r>
      <w:r w:rsidR="005C0D39">
        <w:rPr>
          <w:bCs/>
          <w:lang w:val="en-US"/>
        </w:rPr>
        <w:t xml:space="preserve">ur results rely on information on </w:t>
      </w:r>
      <w:proofErr w:type="spellStart"/>
      <w:r w:rsidR="005C0D39">
        <w:rPr>
          <w:bCs/>
          <w:lang w:val="en-US"/>
        </w:rPr>
        <w:t>hirings</w:t>
      </w:r>
      <w:proofErr w:type="spellEnd"/>
      <w:r w:rsidR="005C0D39">
        <w:rPr>
          <w:bCs/>
          <w:lang w:val="en-US"/>
        </w:rPr>
        <w:t xml:space="preserve"> and separations </w:t>
      </w:r>
      <w:r w:rsidR="001225C0">
        <w:rPr>
          <w:bCs/>
          <w:lang w:val="en-US"/>
        </w:rPr>
        <w:t xml:space="preserve">between </w:t>
      </w:r>
      <w:r w:rsidR="00A21A3D">
        <w:rPr>
          <w:bCs/>
          <w:lang w:val="en-US"/>
        </w:rPr>
        <w:t xml:space="preserve">1996 </w:t>
      </w:r>
      <w:r w:rsidR="001225C0">
        <w:rPr>
          <w:bCs/>
          <w:lang w:val="en-US"/>
        </w:rPr>
        <w:t xml:space="preserve">and </w:t>
      </w:r>
      <w:r w:rsidR="00A21A3D">
        <w:rPr>
          <w:bCs/>
          <w:lang w:val="en-US"/>
        </w:rPr>
        <w:t xml:space="preserve">2010 </w:t>
      </w:r>
      <w:r w:rsidR="005C0D39">
        <w:rPr>
          <w:bCs/>
          <w:lang w:val="en-US"/>
        </w:rPr>
        <w:t>to compute</w:t>
      </w:r>
      <w:r w:rsidR="005C0D39" w:rsidRPr="006D09AC">
        <w:rPr>
          <w:lang w:val="en-US"/>
        </w:rPr>
        <w:t xml:space="preserve"> traditional measures of </w:t>
      </w:r>
      <w:r w:rsidR="005C0D39">
        <w:rPr>
          <w:lang w:val="en-US"/>
        </w:rPr>
        <w:t>w</w:t>
      </w:r>
      <w:r w:rsidR="005C0D39" w:rsidRPr="00584640">
        <w:rPr>
          <w:lang w:val="en-US"/>
        </w:rPr>
        <w:t>orker flows</w:t>
      </w:r>
      <w:r w:rsidR="005C0D39">
        <w:rPr>
          <w:lang w:val="en-US"/>
        </w:rPr>
        <w:t>, adapted to the context of age specific groups. We calculate the hiring and s</w:t>
      </w:r>
      <w:r w:rsidR="005C0D39" w:rsidRPr="00584640">
        <w:rPr>
          <w:lang w:val="en-US"/>
        </w:rPr>
        <w:t xml:space="preserve">eparation rates </w:t>
      </w:r>
      <w:r w:rsidR="005C0D39">
        <w:rPr>
          <w:lang w:val="en-US"/>
        </w:rPr>
        <w:t xml:space="preserve">for age group </w:t>
      </w:r>
      <w:r w:rsidR="005C0D39" w:rsidRPr="00AE5173">
        <w:rPr>
          <w:i/>
          <w:lang w:val="en-US"/>
        </w:rPr>
        <w:t>a</w:t>
      </w:r>
      <w:r w:rsidR="005C0D39">
        <w:rPr>
          <w:lang w:val="en-US"/>
        </w:rPr>
        <w:t xml:space="preserve"> in year </w:t>
      </w:r>
      <w:r w:rsidR="005C0D39" w:rsidRPr="004923A1">
        <w:rPr>
          <w:i/>
          <w:lang w:val="en-US"/>
        </w:rPr>
        <w:t>t</w:t>
      </w:r>
      <w:r w:rsidR="005C0D39">
        <w:rPr>
          <w:lang w:val="en-US"/>
        </w:rPr>
        <w:t xml:space="preserve"> </w:t>
      </w:r>
      <w:r w:rsidR="005C0D39" w:rsidRPr="00584640">
        <w:rPr>
          <w:lang w:val="en-US"/>
        </w:rPr>
        <w:t>as</w:t>
      </w:r>
      <w:r w:rsidR="005C0D39">
        <w:rPr>
          <w:lang w:val="en-US"/>
        </w:rPr>
        <w:t>:</w:t>
      </w:r>
      <w:r w:rsidR="005C0D39" w:rsidRPr="00584640">
        <w:rPr>
          <w:lang w:val="en-US"/>
        </w:rPr>
        <w:t xml:space="preserve"> </w:t>
      </w:r>
      <w:r w:rsidR="005C0D39" w:rsidRPr="00584640">
        <w:rPr>
          <w:i/>
          <w:lang w:val="en-US"/>
        </w:rPr>
        <w:t>H</w:t>
      </w:r>
      <w:r w:rsidR="005C0D39">
        <w:rPr>
          <w:i/>
          <w:vertAlign w:val="subscript"/>
          <w:lang w:val="en-US"/>
        </w:rPr>
        <w:t>at</w:t>
      </w:r>
      <w:r w:rsidR="005C0D39" w:rsidRPr="00584640">
        <w:rPr>
          <w:i/>
          <w:lang w:val="en-US"/>
        </w:rPr>
        <w:t>=</w:t>
      </w:r>
      <w:r w:rsidR="005C0D39" w:rsidRPr="0000189D">
        <w:rPr>
          <w:rFonts w:ascii="Symbol" w:hAnsi="Symbol"/>
          <w:i/>
          <w:sz w:val="28"/>
        </w:rPr>
        <w:t></w:t>
      </w:r>
      <w:r w:rsidR="005C0D39" w:rsidRPr="0000189D">
        <w:rPr>
          <w:rFonts w:ascii="Symbol" w:hAnsi="Symbol"/>
          <w:i/>
          <w:sz w:val="28"/>
        </w:rPr>
        <w:t></w:t>
      </w:r>
      <w:proofErr w:type="spellStart"/>
      <w:r w:rsidR="005C0D39" w:rsidRPr="00584640">
        <w:rPr>
          <w:i/>
          <w:vertAlign w:val="subscript"/>
          <w:lang w:val="en-US"/>
        </w:rPr>
        <w:t>i</w:t>
      </w:r>
      <w:proofErr w:type="spellEnd"/>
      <w:r w:rsidR="005C0D39" w:rsidRPr="00584640">
        <w:rPr>
          <w:i/>
          <w:lang w:val="en-US"/>
        </w:rPr>
        <w:t xml:space="preserve"> </w:t>
      </w:r>
      <w:proofErr w:type="spellStart"/>
      <w:r w:rsidR="005C0D39" w:rsidRPr="00584640">
        <w:rPr>
          <w:i/>
          <w:lang w:val="en-US"/>
        </w:rPr>
        <w:t>h</w:t>
      </w:r>
      <w:r w:rsidR="005C0D39" w:rsidRPr="00584640">
        <w:rPr>
          <w:i/>
          <w:vertAlign w:val="subscript"/>
          <w:lang w:val="en-US"/>
        </w:rPr>
        <w:t>i</w:t>
      </w:r>
      <w:r w:rsidR="005C0D39">
        <w:rPr>
          <w:i/>
          <w:vertAlign w:val="subscript"/>
          <w:lang w:val="en-US"/>
        </w:rPr>
        <w:t>a</w:t>
      </w:r>
      <w:r w:rsidR="005C0D39" w:rsidRPr="00584640">
        <w:rPr>
          <w:i/>
          <w:vertAlign w:val="subscript"/>
          <w:lang w:val="en-US"/>
        </w:rPr>
        <w:t>t</w:t>
      </w:r>
      <w:proofErr w:type="spellEnd"/>
      <w:r w:rsidR="005C0D39" w:rsidRPr="00584640">
        <w:rPr>
          <w:i/>
          <w:lang w:val="en-US"/>
        </w:rPr>
        <w:t>/</w:t>
      </w:r>
      <w:proofErr w:type="spellStart"/>
      <w:r w:rsidR="005C0D39" w:rsidRPr="00584640">
        <w:rPr>
          <w:i/>
          <w:lang w:val="en-US"/>
        </w:rPr>
        <w:t>X</w:t>
      </w:r>
      <w:r w:rsidR="005C0D39">
        <w:rPr>
          <w:i/>
          <w:vertAlign w:val="subscript"/>
          <w:lang w:val="en-US"/>
        </w:rPr>
        <w:t>at</w:t>
      </w:r>
      <w:proofErr w:type="spellEnd"/>
      <w:r w:rsidR="005C0D39" w:rsidRPr="00584640">
        <w:rPr>
          <w:lang w:val="en-US"/>
        </w:rPr>
        <w:t xml:space="preserve"> and </w:t>
      </w:r>
      <w:r w:rsidR="005C0D39" w:rsidRPr="00584640">
        <w:rPr>
          <w:i/>
          <w:lang w:val="en-US"/>
        </w:rPr>
        <w:t>S</w:t>
      </w:r>
      <w:r w:rsidR="005C0D39">
        <w:rPr>
          <w:i/>
          <w:vertAlign w:val="subscript"/>
          <w:lang w:val="en-US"/>
        </w:rPr>
        <w:t>at</w:t>
      </w:r>
      <w:r w:rsidR="005C0D39" w:rsidRPr="00584640">
        <w:rPr>
          <w:i/>
          <w:lang w:val="en-US"/>
        </w:rPr>
        <w:t>=</w:t>
      </w:r>
      <w:r w:rsidR="005C0D39" w:rsidRPr="0000189D">
        <w:rPr>
          <w:rFonts w:ascii="Symbol" w:hAnsi="Symbol"/>
          <w:i/>
          <w:sz w:val="28"/>
        </w:rPr>
        <w:t></w:t>
      </w:r>
      <w:proofErr w:type="spellStart"/>
      <w:r w:rsidR="005C0D39" w:rsidRPr="00584640">
        <w:rPr>
          <w:i/>
          <w:vertAlign w:val="subscript"/>
          <w:lang w:val="en-US"/>
        </w:rPr>
        <w:t>i</w:t>
      </w:r>
      <w:proofErr w:type="spellEnd"/>
      <w:r w:rsidR="005C0D39" w:rsidRPr="00584640">
        <w:rPr>
          <w:i/>
          <w:lang w:val="en-US"/>
        </w:rPr>
        <w:t xml:space="preserve"> </w:t>
      </w:r>
      <w:proofErr w:type="spellStart"/>
      <w:r w:rsidR="005C0D39" w:rsidRPr="00584640">
        <w:rPr>
          <w:i/>
          <w:lang w:val="en-US"/>
        </w:rPr>
        <w:t>s</w:t>
      </w:r>
      <w:r w:rsidR="005C0D39" w:rsidRPr="00584640">
        <w:rPr>
          <w:i/>
          <w:vertAlign w:val="subscript"/>
          <w:lang w:val="en-US"/>
        </w:rPr>
        <w:t>i</w:t>
      </w:r>
      <w:r w:rsidR="005C0D39">
        <w:rPr>
          <w:i/>
          <w:vertAlign w:val="subscript"/>
          <w:lang w:val="en-US"/>
        </w:rPr>
        <w:t>a</w:t>
      </w:r>
      <w:r w:rsidR="005C0D39" w:rsidRPr="00584640">
        <w:rPr>
          <w:i/>
          <w:vertAlign w:val="subscript"/>
          <w:lang w:val="en-US"/>
        </w:rPr>
        <w:t>t</w:t>
      </w:r>
      <w:proofErr w:type="spellEnd"/>
      <w:r w:rsidR="005C0D39" w:rsidRPr="00584640">
        <w:rPr>
          <w:i/>
          <w:lang w:val="en-US"/>
        </w:rPr>
        <w:t>/</w:t>
      </w:r>
      <w:proofErr w:type="spellStart"/>
      <w:r w:rsidR="005C0D39" w:rsidRPr="00584640">
        <w:rPr>
          <w:i/>
          <w:lang w:val="en-US"/>
        </w:rPr>
        <w:t>X</w:t>
      </w:r>
      <w:r w:rsidR="005C0D39">
        <w:rPr>
          <w:i/>
          <w:vertAlign w:val="subscript"/>
          <w:lang w:val="en-US"/>
        </w:rPr>
        <w:t>at</w:t>
      </w:r>
      <w:proofErr w:type="spellEnd"/>
      <w:r w:rsidR="005C0D39" w:rsidRPr="00584640">
        <w:rPr>
          <w:lang w:val="en-US"/>
        </w:rPr>
        <w:t xml:space="preserve">, respectively, where </w:t>
      </w:r>
      <w:proofErr w:type="spellStart"/>
      <w:r w:rsidR="005C0D39" w:rsidRPr="004923A1">
        <w:rPr>
          <w:i/>
          <w:lang w:val="en-US"/>
        </w:rPr>
        <w:t>i</w:t>
      </w:r>
      <w:proofErr w:type="spellEnd"/>
      <w:r w:rsidR="005C0D39">
        <w:rPr>
          <w:lang w:val="en-US"/>
        </w:rPr>
        <w:t xml:space="preserve"> represents </w:t>
      </w:r>
      <w:r w:rsidR="00A21A3D">
        <w:rPr>
          <w:lang w:val="en-US"/>
        </w:rPr>
        <w:t>establishments</w:t>
      </w:r>
      <w:r w:rsidR="005C0D39">
        <w:rPr>
          <w:lang w:val="en-US"/>
        </w:rPr>
        <w:t xml:space="preserve">, </w:t>
      </w:r>
      <w:proofErr w:type="spellStart"/>
      <w:r w:rsidR="005C0D39" w:rsidRPr="00584640">
        <w:rPr>
          <w:i/>
          <w:lang w:val="en-US"/>
        </w:rPr>
        <w:t>h</w:t>
      </w:r>
      <w:r w:rsidR="005C0D39" w:rsidRPr="00584640">
        <w:rPr>
          <w:i/>
          <w:vertAlign w:val="subscript"/>
          <w:lang w:val="en-US"/>
        </w:rPr>
        <w:t>i</w:t>
      </w:r>
      <w:r w:rsidR="005C0D39">
        <w:rPr>
          <w:i/>
          <w:vertAlign w:val="subscript"/>
          <w:lang w:val="en-US"/>
        </w:rPr>
        <w:t>a</w:t>
      </w:r>
      <w:r w:rsidR="005C0D39" w:rsidRPr="00584640">
        <w:rPr>
          <w:i/>
          <w:vertAlign w:val="subscript"/>
          <w:lang w:val="en-US"/>
        </w:rPr>
        <w:t>t</w:t>
      </w:r>
      <w:proofErr w:type="spellEnd"/>
      <w:r w:rsidR="005C0D39" w:rsidRPr="00584640">
        <w:rPr>
          <w:lang w:val="en-US"/>
        </w:rPr>
        <w:t xml:space="preserve"> is the number of hires </w:t>
      </w:r>
      <w:r w:rsidR="005C0D39">
        <w:rPr>
          <w:lang w:val="en-US"/>
        </w:rPr>
        <w:t xml:space="preserve">of workers of age group </w:t>
      </w:r>
      <w:r w:rsidR="005C0D39" w:rsidRPr="00AE5173">
        <w:rPr>
          <w:i/>
          <w:lang w:val="en-US"/>
        </w:rPr>
        <w:t>a</w:t>
      </w:r>
      <w:r w:rsidR="005C0D39">
        <w:rPr>
          <w:lang w:val="en-US"/>
        </w:rPr>
        <w:t xml:space="preserve"> </w:t>
      </w:r>
      <w:r w:rsidR="005C0D39" w:rsidRPr="00584640">
        <w:rPr>
          <w:lang w:val="en-US"/>
        </w:rPr>
        <w:t xml:space="preserve">over the course </w:t>
      </w:r>
      <w:r w:rsidR="005C0D39">
        <w:rPr>
          <w:lang w:val="en-US"/>
        </w:rPr>
        <w:t xml:space="preserve">of </w:t>
      </w:r>
      <w:r w:rsidR="005C0D39" w:rsidRPr="00584640">
        <w:rPr>
          <w:lang w:val="en-US"/>
        </w:rPr>
        <w:t>the year</w:t>
      </w:r>
      <w:r>
        <w:rPr>
          <w:lang w:val="en-US"/>
        </w:rPr>
        <w:t xml:space="preserve"> </w:t>
      </w:r>
      <w:r>
        <w:rPr>
          <w:i/>
          <w:lang w:val="en-US"/>
        </w:rPr>
        <w:t>t</w:t>
      </w:r>
      <w:r w:rsidR="005C0D39" w:rsidRPr="00584640">
        <w:rPr>
          <w:lang w:val="en-US"/>
        </w:rPr>
        <w:t xml:space="preserve">, </w:t>
      </w:r>
      <w:proofErr w:type="spellStart"/>
      <w:r w:rsidR="005C0D39" w:rsidRPr="00584640">
        <w:rPr>
          <w:i/>
          <w:lang w:val="en-US"/>
        </w:rPr>
        <w:t>s</w:t>
      </w:r>
      <w:r w:rsidR="005C0D39" w:rsidRPr="00584640">
        <w:rPr>
          <w:i/>
          <w:vertAlign w:val="subscript"/>
          <w:lang w:val="en-US"/>
        </w:rPr>
        <w:t>i</w:t>
      </w:r>
      <w:r w:rsidR="005C0D39">
        <w:rPr>
          <w:i/>
          <w:vertAlign w:val="subscript"/>
          <w:lang w:val="en-US"/>
        </w:rPr>
        <w:t>a</w:t>
      </w:r>
      <w:r w:rsidR="005C0D39" w:rsidRPr="00584640">
        <w:rPr>
          <w:i/>
          <w:vertAlign w:val="subscript"/>
          <w:lang w:val="en-US"/>
        </w:rPr>
        <w:t>t</w:t>
      </w:r>
      <w:proofErr w:type="spellEnd"/>
      <w:r w:rsidR="005C0D39" w:rsidRPr="00584640">
        <w:rPr>
          <w:lang w:val="en-US"/>
        </w:rPr>
        <w:t xml:space="preserve"> is the number of separations </w:t>
      </w:r>
      <w:r w:rsidR="005C0D39">
        <w:rPr>
          <w:lang w:val="en-US"/>
        </w:rPr>
        <w:t xml:space="preserve">for age group </w:t>
      </w:r>
      <w:r w:rsidR="005C0D39" w:rsidRPr="007E58F9">
        <w:rPr>
          <w:i/>
          <w:lang w:val="en-US"/>
        </w:rPr>
        <w:t>a</w:t>
      </w:r>
      <w:r w:rsidR="005C0D39">
        <w:rPr>
          <w:lang w:val="en-US"/>
        </w:rPr>
        <w:t xml:space="preserve"> </w:t>
      </w:r>
      <w:r w:rsidR="005C0D39" w:rsidRPr="00584640">
        <w:rPr>
          <w:lang w:val="en-US"/>
        </w:rPr>
        <w:t>over the year</w:t>
      </w:r>
      <w:r>
        <w:rPr>
          <w:lang w:val="en-US"/>
        </w:rPr>
        <w:t xml:space="preserve"> </w:t>
      </w:r>
      <w:r>
        <w:rPr>
          <w:i/>
          <w:lang w:val="en-US"/>
        </w:rPr>
        <w:t>t</w:t>
      </w:r>
      <w:r>
        <w:rPr>
          <w:lang w:val="en-US"/>
        </w:rPr>
        <w:t xml:space="preserve"> at establishment </w:t>
      </w:r>
      <w:proofErr w:type="spellStart"/>
      <w:r>
        <w:rPr>
          <w:i/>
          <w:lang w:val="en-US"/>
        </w:rPr>
        <w:t>i</w:t>
      </w:r>
      <w:proofErr w:type="spellEnd"/>
      <w:r w:rsidR="005C0D39">
        <w:rPr>
          <w:lang w:val="en-US"/>
        </w:rPr>
        <w:t xml:space="preserve">, </w:t>
      </w:r>
      <w:r w:rsidR="005C0D39" w:rsidRPr="00584640">
        <w:rPr>
          <w:lang w:val="en-US"/>
        </w:rPr>
        <w:t xml:space="preserve">and </w:t>
      </w:r>
      <w:proofErr w:type="spellStart"/>
      <w:r w:rsidR="005C0D39" w:rsidRPr="00584640">
        <w:rPr>
          <w:i/>
          <w:lang w:val="en-US"/>
        </w:rPr>
        <w:t>X</w:t>
      </w:r>
      <w:r w:rsidR="005C0D39">
        <w:rPr>
          <w:i/>
          <w:vertAlign w:val="subscript"/>
          <w:lang w:val="en-US"/>
        </w:rPr>
        <w:t>at</w:t>
      </w:r>
      <w:proofErr w:type="spellEnd"/>
      <w:r w:rsidR="005C0D39" w:rsidRPr="00584640">
        <w:rPr>
          <w:lang w:val="en-US"/>
        </w:rPr>
        <w:t xml:space="preserve"> is </w:t>
      </w:r>
      <w:r w:rsidR="005C0D39">
        <w:rPr>
          <w:lang w:val="en-US"/>
        </w:rPr>
        <w:t xml:space="preserve">the </w:t>
      </w:r>
      <w:r w:rsidR="00EC2793">
        <w:rPr>
          <w:lang w:val="en-US"/>
        </w:rPr>
        <w:t xml:space="preserve">aggregate </w:t>
      </w:r>
      <w:r w:rsidR="005C0D39" w:rsidRPr="00584640">
        <w:rPr>
          <w:lang w:val="en-US"/>
        </w:rPr>
        <w:t xml:space="preserve">average (between </w:t>
      </w:r>
      <w:r w:rsidR="005C0D39">
        <w:rPr>
          <w:lang w:val="en-US"/>
        </w:rPr>
        <w:t>31/12/</w:t>
      </w:r>
      <w:r w:rsidR="005C0D39" w:rsidRPr="00584640">
        <w:rPr>
          <w:i/>
          <w:lang w:val="en-US"/>
        </w:rPr>
        <w:t>t</w:t>
      </w:r>
      <w:r w:rsidR="005C0D39" w:rsidRPr="00584640">
        <w:rPr>
          <w:lang w:val="en-US"/>
        </w:rPr>
        <w:t xml:space="preserve"> and </w:t>
      </w:r>
      <w:r w:rsidR="005C0D39">
        <w:rPr>
          <w:lang w:val="en-US"/>
        </w:rPr>
        <w:t>31/12/</w:t>
      </w:r>
      <w:r w:rsidR="005C0D39" w:rsidRPr="00584640">
        <w:rPr>
          <w:i/>
          <w:lang w:val="en-US"/>
        </w:rPr>
        <w:t>t-1</w:t>
      </w:r>
      <w:r w:rsidR="005C0D39" w:rsidRPr="00584640">
        <w:rPr>
          <w:lang w:val="en-US"/>
        </w:rPr>
        <w:t>) employment level</w:t>
      </w:r>
      <w:r w:rsidR="005C0D39">
        <w:rPr>
          <w:lang w:val="en-US"/>
        </w:rPr>
        <w:t xml:space="preserve"> of the group of workers under consideration</w:t>
      </w:r>
      <w:r w:rsidR="005C0D39" w:rsidRPr="00584640">
        <w:rPr>
          <w:lang w:val="en-US"/>
        </w:rPr>
        <w:t xml:space="preserve">. </w:t>
      </w:r>
    </w:p>
    <w:p w:rsidR="005C0D39" w:rsidRDefault="005C0D39" w:rsidP="005C0D39">
      <w:pPr>
        <w:spacing w:line="360" w:lineRule="auto"/>
        <w:rPr>
          <w:lang w:val="en-US"/>
        </w:rPr>
      </w:pPr>
      <w:r>
        <w:rPr>
          <w:lang w:val="en-US"/>
        </w:rPr>
        <w:t>These two rates can be combined to provide evidence on turnover. First, we aggregate the overall amount of worker flows using the w</w:t>
      </w:r>
      <w:r w:rsidRPr="00584640">
        <w:rPr>
          <w:lang w:val="en-US"/>
        </w:rPr>
        <w:t xml:space="preserve">orker turnover </w:t>
      </w:r>
      <w:r>
        <w:rPr>
          <w:lang w:val="en-US"/>
        </w:rPr>
        <w:t xml:space="preserve">rate: </w:t>
      </w:r>
      <w:r w:rsidRPr="00584640">
        <w:rPr>
          <w:i/>
          <w:lang w:val="en-US"/>
        </w:rPr>
        <w:t>T</w:t>
      </w:r>
      <w:r>
        <w:rPr>
          <w:i/>
          <w:vertAlign w:val="subscript"/>
          <w:lang w:val="en-US"/>
        </w:rPr>
        <w:t>at</w:t>
      </w:r>
      <w:r w:rsidRPr="00584640">
        <w:rPr>
          <w:i/>
          <w:lang w:val="en-US"/>
        </w:rPr>
        <w:t>= H</w:t>
      </w:r>
      <w:r>
        <w:rPr>
          <w:i/>
          <w:vertAlign w:val="subscript"/>
          <w:lang w:val="en-US"/>
        </w:rPr>
        <w:t>at</w:t>
      </w:r>
      <w:r w:rsidRPr="00584640">
        <w:rPr>
          <w:i/>
          <w:lang w:val="en-US"/>
        </w:rPr>
        <w:t xml:space="preserve"> + S</w:t>
      </w:r>
      <w:r>
        <w:rPr>
          <w:i/>
          <w:vertAlign w:val="subscript"/>
          <w:lang w:val="en-US"/>
        </w:rPr>
        <w:t>at</w:t>
      </w:r>
      <w:r>
        <w:rPr>
          <w:lang w:val="en-US"/>
        </w:rPr>
        <w:t>.</w:t>
      </w:r>
      <w:r w:rsidRPr="007D3F1C">
        <w:rPr>
          <w:lang w:val="en-US"/>
        </w:rPr>
        <w:t xml:space="preserve"> </w:t>
      </w:r>
      <w:r>
        <w:rPr>
          <w:lang w:val="en-US"/>
        </w:rPr>
        <w:t>The more heterogeneous is the workers’ flow profile within firm × age cell</w:t>
      </w:r>
      <w:r w:rsidR="00EC2793">
        <w:rPr>
          <w:lang w:val="en-US"/>
        </w:rPr>
        <w:t>,</w:t>
      </w:r>
      <w:r>
        <w:rPr>
          <w:lang w:val="en-US"/>
        </w:rPr>
        <w:t xml:space="preserve"> the higher is the distance between turnover and any of its components. Following this insight, another interesting measure is the churning rate, which is defined</w:t>
      </w:r>
      <w:r w:rsidRPr="00584640">
        <w:rPr>
          <w:lang w:val="en-US"/>
        </w:rPr>
        <w:t xml:space="preserve"> as </w:t>
      </w:r>
      <w:proofErr w:type="spellStart"/>
      <w:r w:rsidRPr="00584640">
        <w:rPr>
          <w:i/>
          <w:lang w:val="en-US"/>
        </w:rPr>
        <w:t>CH</w:t>
      </w:r>
      <w:r>
        <w:rPr>
          <w:i/>
          <w:vertAlign w:val="subscript"/>
          <w:lang w:val="en-US"/>
        </w:rPr>
        <w:t>at</w:t>
      </w:r>
      <w:proofErr w:type="spellEnd"/>
      <w:r w:rsidRPr="00584640">
        <w:rPr>
          <w:i/>
          <w:lang w:val="en-US"/>
        </w:rPr>
        <w:t>= T</w:t>
      </w:r>
      <w:r>
        <w:rPr>
          <w:i/>
          <w:vertAlign w:val="subscript"/>
          <w:lang w:val="en-US"/>
        </w:rPr>
        <w:t>at</w:t>
      </w:r>
      <w:r w:rsidRPr="00584640">
        <w:rPr>
          <w:i/>
          <w:lang w:val="en-US"/>
        </w:rPr>
        <w:t xml:space="preserve"> </w:t>
      </w:r>
      <w:r w:rsidRPr="007E58F9">
        <w:rPr>
          <w:i/>
          <w:lang w:val="en-US"/>
        </w:rPr>
        <w:t>– |</w:t>
      </w:r>
      <w:proofErr w:type="spellStart"/>
      <w:r w:rsidRPr="007E58F9">
        <w:rPr>
          <w:i/>
          <w:lang w:val="en-US"/>
        </w:rPr>
        <w:t>NET</w:t>
      </w:r>
      <w:r w:rsidRPr="007E58F9">
        <w:rPr>
          <w:i/>
          <w:vertAlign w:val="subscript"/>
          <w:lang w:val="en-US"/>
        </w:rPr>
        <w:t>at</w:t>
      </w:r>
      <w:proofErr w:type="spellEnd"/>
      <w:r w:rsidRPr="007E58F9">
        <w:rPr>
          <w:i/>
          <w:lang w:val="en-US"/>
        </w:rPr>
        <w:t>|</w:t>
      </w:r>
      <w:r>
        <w:rPr>
          <w:lang w:val="en-US"/>
        </w:rPr>
        <w:t xml:space="preserve">, where </w:t>
      </w:r>
      <w:r w:rsidRPr="007E58F9">
        <w:rPr>
          <w:i/>
          <w:lang w:val="en-US"/>
        </w:rPr>
        <w:t>NET</w:t>
      </w:r>
      <w:r>
        <w:rPr>
          <w:lang w:val="en-US"/>
        </w:rPr>
        <w:t xml:space="preserve"> stands for </w:t>
      </w:r>
      <w:r w:rsidRPr="00584640">
        <w:rPr>
          <w:lang w:val="en-US"/>
        </w:rPr>
        <w:t>net employment growth</w:t>
      </w:r>
      <w:r>
        <w:rPr>
          <w:lang w:val="en-US"/>
        </w:rPr>
        <w:t>.</w:t>
      </w:r>
    </w:p>
    <w:p w:rsidR="005C0D39" w:rsidRDefault="009021DB" w:rsidP="005C0D39">
      <w:pPr>
        <w:spacing w:line="360" w:lineRule="auto"/>
        <w:rPr>
          <w:lang w:val="en-US"/>
        </w:rPr>
      </w:pPr>
      <w:r>
        <w:rPr>
          <w:lang w:val="en-US"/>
        </w:rPr>
        <w:t>T</w:t>
      </w:r>
      <w:r w:rsidR="005C0D39">
        <w:rPr>
          <w:lang w:val="en-US"/>
        </w:rPr>
        <w:t xml:space="preserve">he context of age specific groups matter </w:t>
      </w:r>
      <w:r>
        <w:rPr>
          <w:lang w:val="en-US"/>
        </w:rPr>
        <w:t>to</w:t>
      </w:r>
      <w:r w:rsidR="005C0D39">
        <w:rPr>
          <w:lang w:val="en-US"/>
        </w:rPr>
        <w:t xml:space="preserve"> the way </w:t>
      </w:r>
      <w:r>
        <w:rPr>
          <w:lang w:val="en-US"/>
        </w:rPr>
        <w:t xml:space="preserve">labor flow </w:t>
      </w:r>
      <w:r w:rsidR="005C0D39">
        <w:rPr>
          <w:lang w:val="en-US"/>
        </w:rPr>
        <w:t xml:space="preserve">measures are computed. In the traditional analysis at the firm level, </w:t>
      </w:r>
      <w:r w:rsidR="005C0D39" w:rsidRPr="007E58F9">
        <w:rPr>
          <w:i/>
          <w:lang w:val="en-US"/>
        </w:rPr>
        <w:t>NET</w:t>
      </w:r>
      <w:r w:rsidR="005C0D39">
        <w:rPr>
          <w:lang w:val="en-US"/>
        </w:rPr>
        <w:t xml:space="preserve"> could be either computed as:</w:t>
      </w:r>
      <w:r w:rsidR="005C0D39">
        <w:rPr>
          <w:rStyle w:val="Refdenotaderodap"/>
          <w:lang w:val="en-US"/>
        </w:rPr>
        <w:footnoteReference w:id="8"/>
      </w:r>
    </w:p>
    <w:p w:rsidR="005C0D39" w:rsidRDefault="005C0D39" w:rsidP="005C0D39">
      <w:pPr>
        <w:spacing w:line="360" w:lineRule="auto"/>
        <w:rPr>
          <w:lang w:val="en-US"/>
        </w:rPr>
      </w:pPr>
      <w:proofErr w:type="spellStart"/>
      <w:r w:rsidRPr="00584640">
        <w:rPr>
          <w:lang w:val="en-US"/>
        </w:rPr>
        <w:t>NET</w:t>
      </w:r>
      <w:r w:rsidRPr="00584640">
        <w:rPr>
          <w:vertAlign w:val="subscript"/>
          <w:lang w:val="en-US"/>
        </w:rPr>
        <w:t>t</w:t>
      </w:r>
      <w:proofErr w:type="spellEnd"/>
      <w:r w:rsidRPr="00584640">
        <w:rPr>
          <w:lang w:val="en-US"/>
        </w:rPr>
        <w:t xml:space="preserve">= </w:t>
      </w:r>
      <w:proofErr w:type="spellStart"/>
      <w:r>
        <w:rPr>
          <w:lang w:val="en-US"/>
        </w:rPr>
        <w:t>H</w:t>
      </w:r>
      <w:r w:rsidRPr="00584640">
        <w:rPr>
          <w:vertAlign w:val="subscript"/>
          <w:lang w:val="en-US"/>
        </w:rPr>
        <w:t>t</w:t>
      </w:r>
      <w:proofErr w:type="spellEnd"/>
      <w:r w:rsidRPr="00584640">
        <w:rPr>
          <w:lang w:val="en-US"/>
        </w:rPr>
        <w:t xml:space="preserve"> – </w:t>
      </w:r>
      <w:r>
        <w:rPr>
          <w:lang w:val="en-US"/>
        </w:rPr>
        <w:t>S</w:t>
      </w:r>
      <w:r w:rsidRPr="00584640">
        <w:rPr>
          <w:vertAlign w:val="subscript"/>
          <w:lang w:val="en-US"/>
        </w:rPr>
        <w:t>t</w:t>
      </w:r>
      <w:r>
        <w:rPr>
          <w:lang w:val="en-US"/>
        </w:rPr>
        <w:t>,</w:t>
      </w:r>
      <w:r>
        <w:rPr>
          <w:lang w:val="en-US"/>
        </w:rPr>
        <w:tab/>
      </w:r>
      <w:r>
        <w:rPr>
          <w:lang w:val="en-US"/>
        </w:rPr>
        <w:tab/>
      </w:r>
      <w:r>
        <w:rPr>
          <w:lang w:val="en-US"/>
        </w:rPr>
        <w:tab/>
      </w:r>
      <w:r>
        <w:rPr>
          <w:lang w:val="en-US"/>
        </w:rPr>
        <w:tab/>
      </w:r>
      <w:r>
        <w:rPr>
          <w:lang w:val="en-US"/>
        </w:rPr>
        <w:tab/>
        <w:t>(1)</w:t>
      </w:r>
    </w:p>
    <w:p w:rsidR="005C0D39" w:rsidRDefault="005C0D39" w:rsidP="005C0D39">
      <w:pPr>
        <w:spacing w:line="360" w:lineRule="auto"/>
        <w:rPr>
          <w:lang w:val="en-US"/>
        </w:rPr>
      </w:pPr>
      <w:proofErr w:type="gramStart"/>
      <w:r>
        <w:rPr>
          <w:lang w:val="en-US"/>
        </w:rPr>
        <w:t>or</w:t>
      </w:r>
      <w:proofErr w:type="gramEnd"/>
      <w:r>
        <w:rPr>
          <w:lang w:val="en-US"/>
        </w:rPr>
        <w:t xml:space="preserve"> as:</w:t>
      </w:r>
    </w:p>
    <w:p w:rsidR="005C0D39" w:rsidRDefault="005C0D39" w:rsidP="005C0D39">
      <w:pPr>
        <w:spacing w:line="360" w:lineRule="auto"/>
        <w:rPr>
          <w:lang w:val="en-US"/>
        </w:rPr>
      </w:pPr>
      <w:proofErr w:type="spellStart"/>
      <w:r w:rsidRPr="00584640">
        <w:rPr>
          <w:lang w:val="en-US"/>
        </w:rPr>
        <w:t>NET</w:t>
      </w:r>
      <w:r w:rsidRPr="00584640">
        <w:rPr>
          <w:vertAlign w:val="subscript"/>
          <w:lang w:val="en-US"/>
        </w:rPr>
        <w:t>t</w:t>
      </w:r>
      <w:proofErr w:type="spellEnd"/>
      <w:r w:rsidRPr="00584640">
        <w:rPr>
          <w:lang w:val="en-US"/>
        </w:rPr>
        <w:t>=</w:t>
      </w:r>
      <w:r w:rsidRPr="0000189D">
        <w:rPr>
          <w:rFonts w:ascii="Symbol" w:hAnsi="Symbol"/>
          <w:i/>
          <w:sz w:val="28"/>
        </w:rPr>
        <w:t></w:t>
      </w:r>
      <w:proofErr w:type="spellStart"/>
      <w:r w:rsidRPr="00584640">
        <w:rPr>
          <w:i/>
          <w:vertAlign w:val="subscript"/>
          <w:lang w:val="en-US"/>
        </w:rPr>
        <w:t>i</w:t>
      </w:r>
      <w:proofErr w:type="spellEnd"/>
      <w:r w:rsidRPr="00584640">
        <w:rPr>
          <w:i/>
          <w:lang w:val="en-US"/>
        </w:rPr>
        <w:t xml:space="preserve"> </w:t>
      </w:r>
      <w:r w:rsidRPr="0000189D">
        <w:rPr>
          <w:rFonts w:ascii="Symbol" w:hAnsi="Symbol"/>
          <w:i/>
        </w:rPr>
        <w:t></w:t>
      </w:r>
      <w:r w:rsidRPr="00584640">
        <w:rPr>
          <w:i/>
          <w:lang w:val="en-US"/>
        </w:rPr>
        <w:t>n</w:t>
      </w:r>
      <w:r w:rsidRPr="00584640">
        <w:rPr>
          <w:i/>
          <w:vertAlign w:val="subscript"/>
          <w:lang w:val="en-US"/>
        </w:rPr>
        <w:t>it</w:t>
      </w:r>
      <w:r w:rsidRPr="00584640">
        <w:rPr>
          <w:i/>
          <w:lang w:val="en-US"/>
        </w:rPr>
        <w:t>/</w:t>
      </w:r>
      <w:proofErr w:type="spellStart"/>
      <w:r w:rsidRPr="00584640">
        <w:rPr>
          <w:i/>
          <w:lang w:val="en-US"/>
        </w:rPr>
        <w:t>X</w:t>
      </w:r>
      <w:r w:rsidRPr="00584640">
        <w:rPr>
          <w:i/>
          <w:vertAlign w:val="subscript"/>
          <w:lang w:val="en-US"/>
        </w:rPr>
        <w:t>t</w:t>
      </w:r>
      <w:r w:rsidRPr="00584640">
        <w:rPr>
          <w:lang w:val="en-US"/>
        </w:rPr>
        <w:t>.</w:t>
      </w:r>
      <w:proofErr w:type="spellEnd"/>
    </w:p>
    <w:p w:rsidR="005C0D39" w:rsidRDefault="005C0D39" w:rsidP="005C0D39">
      <w:pPr>
        <w:spacing w:line="360" w:lineRule="auto"/>
        <w:rPr>
          <w:lang w:val="en-US"/>
        </w:rPr>
      </w:pPr>
      <w:r>
        <w:rPr>
          <w:lang w:val="en-US"/>
        </w:rPr>
        <w:t xml:space="preserve">However when dealing with age specific groups, the two measures differ from each other due to individuals crossing the threshold that divides adjacent age groups while </w:t>
      </w:r>
      <w:r>
        <w:rPr>
          <w:lang w:val="en-US"/>
        </w:rPr>
        <w:lastRenderedPageBreak/>
        <w:t>co</w:t>
      </w:r>
      <w:r w:rsidR="005A3E18">
        <w:rPr>
          <w:lang w:val="en-US"/>
        </w:rPr>
        <w:t>ntinuously employed in the same</w:t>
      </w:r>
      <w:r w:rsidR="009021DB">
        <w:rPr>
          <w:lang w:val="en-US"/>
        </w:rPr>
        <w:t xml:space="preserve"> business unit </w:t>
      </w:r>
      <w:r w:rsidR="009021DB">
        <w:rPr>
          <w:i/>
          <w:lang w:val="en-US"/>
        </w:rPr>
        <w:t>i</w:t>
      </w:r>
      <w:r>
        <w:rPr>
          <w:lang w:val="en-US"/>
        </w:rPr>
        <w:t>. These individuals do contribute to age group specific employment stock variation (</w:t>
      </w:r>
      <w:r w:rsidRPr="0000189D">
        <w:rPr>
          <w:rFonts w:ascii="Symbol" w:hAnsi="Symbol"/>
          <w:i/>
        </w:rPr>
        <w:t></w:t>
      </w:r>
      <w:r w:rsidRPr="00584640">
        <w:rPr>
          <w:i/>
          <w:lang w:val="en-US"/>
        </w:rPr>
        <w:t>n</w:t>
      </w:r>
      <w:r>
        <w:rPr>
          <w:lang w:val="en-US"/>
        </w:rPr>
        <w:t>), but do not contribute neither to hiring (</w:t>
      </w:r>
      <w:r w:rsidRPr="007E58F9">
        <w:rPr>
          <w:i/>
          <w:lang w:val="en-US"/>
        </w:rPr>
        <w:t>H</w:t>
      </w:r>
      <w:r>
        <w:rPr>
          <w:lang w:val="en-US"/>
        </w:rPr>
        <w:t>) nor separation (</w:t>
      </w:r>
      <w:r w:rsidRPr="007E58F9">
        <w:rPr>
          <w:i/>
          <w:lang w:val="en-US"/>
        </w:rPr>
        <w:t>S</w:t>
      </w:r>
      <w:r>
        <w:rPr>
          <w:lang w:val="en-US"/>
        </w:rPr>
        <w:t xml:space="preserve">) rates. Hence we will rely on the first procedure and compute </w:t>
      </w:r>
      <w:r w:rsidRPr="007E58F9">
        <w:rPr>
          <w:i/>
          <w:lang w:val="en-US"/>
        </w:rPr>
        <w:t>NET</w:t>
      </w:r>
      <w:r>
        <w:rPr>
          <w:lang w:val="en-US"/>
        </w:rPr>
        <w:t xml:space="preserve"> as in expression (1).</w:t>
      </w:r>
    </w:p>
    <w:p w:rsidR="00F20895" w:rsidRDefault="00F20895" w:rsidP="005C0D39">
      <w:pPr>
        <w:spacing w:line="360" w:lineRule="auto"/>
        <w:rPr>
          <w:lang w:val="en-US"/>
        </w:rPr>
      </w:pPr>
    </w:p>
    <w:p w:rsidR="005C0D39" w:rsidRPr="00212EB0" w:rsidRDefault="005C0D39" w:rsidP="005C0D39">
      <w:pPr>
        <w:spacing w:line="360" w:lineRule="auto"/>
        <w:rPr>
          <w:i/>
          <w:lang w:val="en-US"/>
        </w:rPr>
      </w:pPr>
      <w:r w:rsidRPr="00212EB0">
        <w:rPr>
          <w:i/>
          <w:lang w:val="en-US"/>
        </w:rPr>
        <w:t>3.</w:t>
      </w:r>
      <w:r>
        <w:rPr>
          <w:i/>
          <w:lang w:val="en-US"/>
        </w:rPr>
        <w:t>2</w:t>
      </w:r>
      <w:r w:rsidRPr="00212EB0">
        <w:rPr>
          <w:i/>
          <w:lang w:val="en-US"/>
        </w:rPr>
        <w:t xml:space="preserve"> </w:t>
      </w:r>
      <w:r>
        <w:rPr>
          <w:i/>
          <w:lang w:val="en-US"/>
        </w:rPr>
        <w:t>Youth Labor Market Trends based on flow measures</w:t>
      </w:r>
    </w:p>
    <w:p w:rsidR="005C0D39" w:rsidRPr="00C15104" w:rsidRDefault="005C0D39" w:rsidP="005C0D39">
      <w:pPr>
        <w:spacing w:line="360" w:lineRule="auto"/>
        <w:rPr>
          <w:lang w:val="en-US"/>
        </w:rPr>
      </w:pPr>
      <w:r w:rsidRPr="00584640">
        <w:rPr>
          <w:lang w:val="en-US"/>
        </w:rPr>
        <w:t xml:space="preserve">The </w:t>
      </w:r>
      <w:r w:rsidR="009021DB">
        <w:rPr>
          <w:lang w:val="en-US"/>
        </w:rPr>
        <w:t xml:space="preserve">striking </w:t>
      </w:r>
      <w:r w:rsidRPr="00584640">
        <w:rPr>
          <w:lang w:val="en-US"/>
        </w:rPr>
        <w:t>differ</w:t>
      </w:r>
      <w:r>
        <w:rPr>
          <w:lang w:val="en-US"/>
        </w:rPr>
        <w:t xml:space="preserve">ences between </w:t>
      </w:r>
      <w:r w:rsidRPr="00584640">
        <w:rPr>
          <w:lang w:val="en-US"/>
        </w:rPr>
        <w:t xml:space="preserve">flows </w:t>
      </w:r>
      <w:r w:rsidR="001647C3">
        <w:rPr>
          <w:lang w:val="en-US"/>
        </w:rPr>
        <w:t xml:space="preserve">measures </w:t>
      </w:r>
      <w:r>
        <w:rPr>
          <w:lang w:val="en-US"/>
        </w:rPr>
        <w:t>of young and adult workers are</w:t>
      </w:r>
      <w:r w:rsidRPr="00584640">
        <w:rPr>
          <w:lang w:val="en-US"/>
        </w:rPr>
        <w:t xml:space="preserve"> summarized </w:t>
      </w:r>
      <w:r>
        <w:rPr>
          <w:lang w:val="en-US"/>
        </w:rPr>
        <w:t>i</w:t>
      </w:r>
      <w:r w:rsidRPr="00584640">
        <w:rPr>
          <w:lang w:val="en-US"/>
        </w:rPr>
        <w:t xml:space="preserve">n a single graph (Figure </w:t>
      </w:r>
      <w:r w:rsidR="005A3E18">
        <w:rPr>
          <w:lang w:val="en-US"/>
        </w:rPr>
        <w:t>2</w:t>
      </w:r>
      <w:r w:rsidRPr="00584640">
        <w:rPr>
          <w:lang w:val="en-US"/>
        </w:rPr>
        <w:t xml:space="preserve">), where we plot </w:t>
      </w:r>
      <w:r w:rsidRPr="007E58F9">
        <w:rPr>
          <w:i/>
          <w:lang w:val="en-US"/>
        </w:rPr>
        <w:t>H</w:t>
      </w:r>
      <w:r w:rsidRPr="00584640">
        <w:rPr>
          <w:lang w:val="en-US"/>
        </w:rPr>
        <w:t xml:space="preserve"> (vertical axis) and </w:t>
      </w:r>
      <w:r w:rsidRPr="007E58F9">
        <w:rPr>
          <w:i/>
          <w:lang w:val="en-US"/>
        </w:rPr>
        <w:t>S</w:t>
      </w:r>
      <w:r w:rsidRPr="00584640">
        <w:rPr>
          <w:lang w:val="en-US"/>
        </w:rPr>
        <w:t xml:space="preserve"> (horizontal axis), elaborating on Burgess</w:t>
      </w:r>
      <w:r>
        <w:rPr>
          <w:lang w:val="en-US"/>
        </w:rPr>
        <w:t xml:space="preserve"> </w:t>
      </w:r>
      <w:r w:rsidRPr="009C3C51">
        <w:rPr>
          <w:i/>
          <w:lang w:val="en-US"/>
        </w:rPr>
        <w:t>et al.</w:t>
      </w:r>
      <w:r w:rsidRPr="00584640">
        <w:rPr>
          <w:lang w:val="en-US"/>
        </w:rPr>
        <w:t xml:space="preserve"> (2001). </w:t>
      </w:r>
      <w:r w:rsidR="009021DB">
        <w:rPr>
          <w:lang w:val="en-US"/>
        </w:rPr>
        <w:t>T</w:t>
      </w:r>
      <w:r>
        <w:rPr>
          <w:lang w:val="en-US"/>
        </w:rPr>
        <w:t xml:space="preserve">here </w:t>
      </w:r>
      <w:proofErr w:type="gramStart"/>
      <w:r w:rsidR="009021DB">
        <w:rPr>
          <w:lang w:val="en-US"/>
        </w:rPr>
        <w:t>are</w:t>
      </w:r>
      <w:r>
        <w:rPr>
          <w:lang w:val="en-US"/>
        </w:rPr>
        <w:t xml:space="preserve"> large difference</w:t>
      </w:r>
      <w:proofErr w:type="gramEnd"/>
      <w:r>
        <w:rPr>
          <w:lang w:val="en-US"/>
        </w:rPr>
        <w:t xml:space="preserve"> in these flow measures between the two groups, with both hiring and separations rates higher for youths. </w:t>
      </w:r>
      <w:r w:rsidR="009021DB">
        <w:rPr>
          <w:lang w:val="en-US"/>
        </w:rPr>
        <w:t>This implies</w:t>
      </w:r>
      <w:r w:rsidRPr="00C15104">
        <w:rPr>
          <w:lang w:val="en-US"/>
        </w:rPr>
        <w:t xml:space="preserve"> that </w:t>
      </w:r>
      <w:r w:rsidR="009021DB">
        <w:rPr>
          <w:lang w:val="en-US"/>
        </w:rPr>
        <w:t xml:space="preserve">the </w:t>
      </w:r>
      <w:r w:rsidRPr="00C15104">
        <w:rPr>
          <w:lang w:val="en-US"/>
        </w:rPr>
        <w:t xml:space="preserve">turnover rate for young workers </w:t>
      </w:r>
      <w:r>
        <w:rPr>
          <w:lang w:val="en-US"/>
        </w:rPr>
        <w:t>overtake</w:t>
      </w:r>
      <w:r w:rsidR="001647C3">
        <w:rPr>
          <w:lang w:val="en-US"/>
        </w:rPr>
        <w:t>s</w:t>
      </w:r>
      <w:r>
        <w:rPr>
          <w:lang w:val="en-US"/>
        </w:rPr>
        <w:t xml:space="preserve"> </w:t>
      </w:r>
      <w:r w:rsidR="001647C3">
        <w:rPr>
          <w:lang w:val="en-US"/>
        </w:rPr>
        <w:t xml:space="preserve">that </w:t>
      </w:r>
      <w:r>
        <w:rPr>
          <w:lang w:val="en-US"/>
        </w:rPr>
        <w:t>for adult workers</w:t>
      </w:r>
      <w:r w:rsidRPr="00C15104">
        <w:rPr>
          <w:lang w:val="en-US"/>
        </w:rPr>
        <w:t xml:space="preserve">. </w:t>
      </w:r>
    </w:p>
    <w:p w:rsidR="009021DB" w:rsidRDefault="005A3E18" w:rsidP="005C0D39">
      <w:pPr>
        <w:spacing w:line="360" w:lineRule="auto"/>
        <w:rPr>
          <w:lang w:val="en-US"/>
        </w:rPr>
      </w:pPr>
      <w:r>
        <w:rPr>
          <w:lang w:val="en-US"/>
        </w:rPr>
        <w:t>Figure 2</w:t>
      </w:r>
      <w:r w:rsidR="005C0D39">
        <w:rPr>
          <w:lang w:val="en-US"/>
        </w:rPr>
        <w:t xml:space="preserve"> also shows a higher net employment rate for young workers. </w:t>
      </w:r>
      <w:r w:rsidR="005C0D39" w:rsidRPr="00584640">
        <w:rPr>
          <w:lang w:val="en-US"/>
        </w:rPr>
        <w:t xml:space="preserve">Points </w:t>
      </w:r>
      <w:r w:rsidR="001647C3">
        <w:rPr>
          <w:lang w:val="en-US"/>
        </w:rPr>
        <w:t xml:space="preserve">along </w:t>
      </w:r>
      <w:r w:rsidR="005C0D39">
        <w:rPr>
          <w:lang w:val="en-US"/>
        </w:rPr>
        <w:t>the</w:t>
      </w:r>
      <w:r w:rsidR="005C0D39" w:rsidRPr="00584640">
        <w:rPr>
          <w:lang w:val="en-US"/>
        </w:rPr>
        <w:t xml:space="preserve"> 45</w:t>
      </w:r>
      <w:r w:rsidR="005C0D39" w:rsidRPr="002064B1">
        <w:rPr>
          <w:vertAlign w:val="superscript"/>
          <w:lang w:val="en-US"/>
        </w:rPr>
        <w:t>o</w:t>
      </w:r>
      <w:r w:rsidR="005C0D39" w:rsidRPr="00584640">
        <w:rPr>
          <w:lang w:val="en-US"/>
        </w:rPr>
        <w:t xml:space="preserve"> line </w:t>
      </w:r>
      <w:r w:rsidR="001647C3">
        <w:rPr>
          <w:lang w:val="en-US"/>
        </w:rPr>
        <w:t xml:space="preserve">corresponds to </w:t>
      </w:r>
      <w:r w:rsidR="005C0D39" w:rsidRPr="007E58F9">
        <w:rPr>
          <w:i/>
          <w:lang w:val="en-US"/>
        </w:rPr>
        <w:t>NET=0</w:t>
      </w:r>
      <w:r w:rsidR="005C0D39" w:rsidRPr="00584640">
        <w:rPr>
          <w:lang w:val="en-US"/>
        </w:rPr>
        <w:t xml:space="preserve">, as </w:t>
      </w:r>
      <w:r w:rsidR="005C0D39" w:rsidRPr="007E58F9">
        <w:rPr>
          <w:i/>
          <w:lang w:val="en-US"/>
        </w:rPr>
        <w:t>H=S</w:t>
      </w:r>
      <w:r w:rsidR="005C0D39" w:rsidRPr="00584640">
        <w:rPr>
          <w:lang w:val="en-US"/>
        </w:rPr>
        <w:t xml:space="preserve">. </w:t>
      </w:r>
      <w:r w:rsidR="00DD0F3F">
        <w:rPr>
          <w:lang w:val="en-US"/>
        </w:rPr>
        <w:t>T</w:t>
      </w:r>
      <w:r w:rsidR="005C0D39">
        <w:rPr>
          <w:lang w:val="en-US"/>
        </w:rPr>
        <w:t xml:space="preserve">he </w:t>
      </w:r>
      <w:r w:rsidR="00DD0F3F">
        <w:rPr>
          <w:lang w:val="en-US"/>
        </w:rPr>
        <w:t xml:space="preserve">scatter points </w:t>
      </w:r>
      <w:r w:rsidR="005C0D39">
        <w:rPr>
          <w:lang w:val="en-US"/>
        </w:rPr>
        <w:t xml:space="preserve">for adult workers </w:t>
      </w:r>
      <w:r w:rsidR="00CD5C2B">
        <w:rPr>
          <w:lang w:val="en-US"/>
        </w:rPr>
        <w:t>are</w:t>
      </w:r>
      <w:r w:rsidR="00DD0F3F">
        <w:rPr>
          <w:lang w:val="en-US"/>
        </w:rPr>
        <w:t xml:space="preserve"> either around or a little above the 45</w:t>
      </w:r>
      <w:r w:rsidR="00DD0F3F" w:rsidRPr="00DD0F3F">
        <w:rPr>
          <w:vertAlign w:val="superscript"/>
          <w:lang w:val="en-US"/>
        </w:rPr>
        <w:t>o</w:t>
      </w:r>
      <w:r w:rsidR="00DD0F3F">
        <w:rPr>
          <w:lang w:val="en-US"/>
        </w:rPr>
        <w:t xml:space="preserve"> line, </w:t>
      </w:r>
      <w:r w:rsidR="00CD5C2B">
        <w:rPr>
          <w:lang w:val="en-US"/>
        </w:rPr>
        <w:t xml:space="preserve">a pattern </w:t>
      </w:r>
      <w:r w:rsidR="00DD0F3F">
        <w:rPr>
          <w:lang w:val="en-US"/>
        </w:rPr>
        <w:t xml:space="preserve">which </w:t>
      </w:r>
      <w:r w:rsidR="00CD5C2B">
        <w:rPr>
          <w:lang w:val="en-US"/>
        </w:rPr>
        <w:t>evinces</w:t>
      </w:r>
      <w:r w:rsidR="00DD0F3F">
        <w:rPr>
          <w:lang w:val="en-US"/>
        </w:rPr>
        <w:t xml:space="preserve"> </w:t>
      </w:r>
      <w:r w:rsidR="00CD5C2B">
        <w:rPr>
          <w:lang w:val="en-US"/>
        </w:rPr>
        <w:t xml:space="preserve">a </w:t>
      </w:r>
      <w:r w:rsidR="00DD0F3F">
        <w:rPr>
          <w:lang w:val="en-US"/>
        </w:rPr>
        <w:t xml:space="preserve">small, positive </w:t>
      </w:r>
      <w:r w:rsidR="00CD5C2B">
        <w:rPr>
          <w:lang w:val="en-US"/>
        </w:rPr>
        <w:t xml:space="preserve">average </w:t>
      </w:r>
      <w:r w:rsidR="00DD0F3F">
        <w:rPr>
          <w:lang w:val="en-US"/>
        </w:rPr>
        <w:t xml:space="preserve">net employment growth </w:t>
      </w:r>
      <w:r w:rsidR="00CD5C2B">
        <w:rPr>
          <w:lang w:val="en-US"/>
        </w:rPr>
        <w:t xml:space="preserve">for this group </w:t>
      </w:r>
      <w:r w:rsidR="00DD0F3F">
        <w:rPr>
          <w:lang w:val="en-US"/>
        </w:rPr>
        <w:t>in the period of analysis</w:t>
      </w:r>
      <w:r w:rsidR="005C0D39">
        <w:rPr>
          <w:lang w:val="en-US"/>
        </w:rPr>
        <w:t xml:space="preserve">. </w:t>
      </w:r>
      <w:r w:rsidR="005C0D39" w:rsidRPr="00584640">
        <w:rPr>
          <w:lang w:val="en-US"/>
        </w:rPr>
        <w:t xml:space="preserve">Net employment growth </w:t>
      </w:r>
      <w:r w:rsidR="009021DB">
        <w:rPr>
          <w:lang w:val="en-US"/>
        </w:rPr>
        <w:t>increases</w:t>
      </w:r>
      <w:r w:rsidR="005C0D39" w:rsidRPr="00584640">
        <w:rPr>
          <w:lang w:val="en-US"/>
        </w:rPr>
        <w:t xml:space="preserve"> northwest with respect to the 45</w:t>
      </w:r>
      <w:r w:rsidR="005C0D39" w:rsidRPr="009C3C51">
        <w:rPr>
          <w:vertAlign w:val="superscript"/>
          <w:lang w:val="en-US"/>
        </w:rPr>
        <w:t>o</w:t>
      </w:r>
      <w:r w:rsidR="005C0D39" w:rsidRPr="00584640">
        <w:rPr>
          <w:lang w:val="en-US"/>
        </w:rPr>
        <w:t xml:space="preserve"> line.</w:t>
      </w:r>
      <w:r w:rsidR="005C0D39">
        <w:rPr>
          <w:lang w:val="en-US"/>
        </w:rPr>
        <w:t xml:space="preserve"> </w:t>
      </w:r>
      <w:r w:rsidR="005C0D39" w:rsidRPr="00584640">
        <w:rPr>
          <w:lang w:val="en-US"/>
        </w:rPr>
        <w:t>‘</w:t>
      </w:r>
      <w:proofErr w:type="spellStart"/>
      <w:r w:rsidR="005C0D39" w:rsidRPr="00584640">
        <w:rPr>
          <w:lang w:val="en-US"/>
        </w:rPr>
        <w:t>IsoNET</w:t>
      </w:r>
      <w:proofErr w:type="spellEnd"/>
      <w:r w:rsidR="005C0D39">
        <w:rPr>
          <w:lang w:val="en-US"/>
        </w:rPr>
        <w:t>’ lines</w:t>
      </w:r>
      <w:r w:rsidR="005C0D39" w:rsidRPr="00584640">
        <w:rPr>
          <w:lang w:val="en-US"/>
        </w:rPr>
        <w:t xml:space="preserve"> </w:t>
      </w:r>
      <w:r w:rsidR="005C0D39">
        <w:rPr>
          <w:lang w:val="en-US"/>
        </w:rPr>
        <w:t>are</w:t>
      </w:r>
      <w:r w:rsidR="005C0D39" w:rsidRPr="00584640">
        <w:rPr>
          <w:lang w:val="en-US"/>
        </w:rPr>
        <w:t xml:space="preserve"> </w:t>
      </w:r>
      <w:r w:rsidR="005C0D39">
        <w:rPr>
          <w:lang w:val="en-US"/>
        </w:rPr>
        <w:t xml:space="preserve">also </w:t>
      </w:r>
      <w:r w:rsidR="005C0D39" w:rsidRPr="00584640">
        <w:rPr>
          <w:lang w:val="en-US"/>
        </w:rPr>
        <w:t>plotted</w:t>
      </w:r>
      <w:r w:rsidR="005C0D39">
        <w:rPr>
          <w:lang w:val="en-US"/>
        </w:rPr>
        <w:t xml:space="preserve"> in Figure </w:t>
      </w:r>
      <w:r>
        <w:rPr>
          <w:lang w:val="en-US"/>
        </w:rPr>
        <w:t>2</w:t>
      </w:r>
      <w:r w:rsidR="005C0D39" w:rsidRPr="00584640">
        <w:rPr>
          <w:lang w:val="en-US"/>
        </w:rPr>
        <w:t xml:space="preserve">, indicating the different combinations of </w:t>
      </w:r>
      <w:r w:rsidR="005C0D39" w:rsidRPr="00CD5C2B">
        <w:rPr>
          <w:i/>
          <w:lang w:val="en-US"/>
        </w:rPr>
        <w:t>H</w:t>
      </w:r>
      <w:r w:rsidR="005C0D39" w:rsidRPr="00584640">
        <w:rPr>
          <w:lang w:val="en-US"/>
        </w:rPr>
        <w:t xml:space="preserve"> and </w:t>
      </w:r>
      <w:r w:rsidR="005C0D39" w:rsidRPr="00CD5C2B">
        <w:rPr>
          <w:i/>
          <w:lang w:val="en-US"/>
        </w:rPr>
        <w:t>S</w:t>
      </w:r>
      <w:r w:rsidR="005C0D39" w:rsidRPr="00584640">
        <w:rPr>
          <w:lang w:val="en-US"/>
        </w:rPr>
        <w:t xml:space="preserve"> that yield </w:t>
      </w:r>
      <w:r w:rsidR="005C0D39">
        <w:rPr>
          <w:lang w:val="en-US"/>
        </w:rPr>
        <w:t>10, 20, and 30</w:t>
      </w:r>
      <w:r w:rsidR="005C0D39" w:rsidRPr="00584640">
        <w:rPr>
          <w:lang w:val="en-US"/>
        </w:rPr>
        <w:t>%</w:t>
      </w:r>
      <w:r w:rsidR="005C0D39">
        <w:rPr>
          <w:lang w:val="en-US"/>
        </w:rPr>
        <w:t xml:space="preserve"> </w:t>
      </w:r>
      <w:r w:rsidR="005C0D39" w:rsidRPr="00584640">
        <w:rPr>
          <w:lang w:val="en-US"/>
        </w:rPr>
        <w:t>net employment growth rate</w:t>
      </w:r>
      <w:r w:rsidR="005C0D39">
        <w:rPr>
          <w:lang w:val="en-US"/>
        </w:rPr>
        <w:t>s</w:t>
      </w:r>
      <w:r w:rsidR="005C0D39" w:rsidRPr="00584640">
        <w:rPr>
          <w:lang w:val="en-US"/>
        </w:rPr>
        <w:t xml:space="preserve">. </w:t>
      </w:r>
      <w:r w:rsidR="005C0D39">
        <w:rPr>
          <w:lang w:val="en-US"/>
        </w:rPr>
        <w:t xml:space="preserve">Differently from the adults’ pattern, the net growth rates for young workers tend be spread along the 20% </w:t>
      </w:r>
      <w:proofErr w:type="spellStart"/>
      <w:r w:rsidR="005C0D39">
        <w:rPr>
          <w:lang w:val="en-US"/>
        </w:rPr>
        <w:t>IsoNet</w:t>
      </w:r>
      <w:proofErr w:type="spellEnd"/>
      <w:r w:rsidR="005C0D39">
        <w:rPr>
          <w:lang w:val="en-US"/>
        </w:rPr>
        <w:t xml:space="preserve"> line. This</w:t>
      </w:r>
      <w:r w:rsidR="00CD5C2B">
        <w:rPr>
          <w:lang w:val="en-US"/>
        </w:rPr>
        <w:t xml:space="preserve"> shows</w:t>
      </w:r>
      <w:r w:rsidR="005C0D39">
        <w:rPr>
          <w:lang w:val="en-US"/>
        </w:rPr>
        <w:t xml:space="preserve"> that, on average, youths experience a much higher employment growth rate than adults in the formal labor market in Brazil. Figure </w:t>
      </w:r>
      <w:r>
        <w:rPr>
          <w:lang w:val="en-US"/>
        </w:rPr>
        <w:t>3</w:t>
      </w:r>
      <w:r w:rsidR="005C0D39">
        <w:rPr>
          <w:lang w:val="en-US"/>
        </w:rPr>
        <w:t xml:space="preserve"> confirms that and shows that the growth rates have exhibited a slight increasing trend for both groups over the period of analysis.</w:t>
      </w:r>
      <w:r>
        <w:rPr>
          <w:rStyle w:val="Refdenotaderodap"/>
          <w:lang w:val="en-US"/>
        </w:rPr>
        <w:footnoteReference w:id="9"/>
      </w:r>
    </w:p>
    <w:p w:rsidR="009021DB" w:rsidRDefault="009021DB">
      <w:pPr>
        <w:spacing w:before="0"/>
        <w:jc w:val="left"/>
        <w:rPr>
          <w:lang w:val="en-US"/>
        </w:rPr>
      </w:pPr>
      <w:r>
        <w:rPr>
          <w:lang w:val="en-US"/>
        </w:rPr>
        <w:br w:type="page"/>
      </w:r>
    </w:p>
    <w:p w:rsidR="005C0D39" w:rsidRDefault="005C0D39" w:rsidP="005C0D39">
      <w:pPr>
        <w:spacing w:line="360" w:lineRule="auto"/>
        <w:rPr>
          <w:lang w:val="en-US"/>
        </w:rPr>
      </w:pPr>
    </w:p>
    <w:p w:rsidR="005C0D39" w:rsidRDefault="005C0D39" w:rsidP="005C0D39">
      <w:pPr>
        <w:spacing w:line="360" w:lineRule="auto"/>
        <w:ind w:firstLine="708"/>
        <w:rPr>
          <w:lang w:val="en-US"/>
        </w:rPr>
      </w:pPr>
      <w:r>
        <w:rPr>
          <w:lang w:val="en-US"/>
        </w:rPr>
        <w:t xml:space="preserve">Figure </w:t>
      </w:r>
      <w:r w:rsidR="005A3E18">
        <w:rPr>
          <w:lang w:val="en-US"/>
        </w:rPr>
        <w:t>2</w:t>
      </w:r>
      <w:r>
        <w:rPr>
          <w:lang w:val="en-US"/>
        </w:rPr>
        <w:t>: Hiring and separation rates by age group, 1996-2010</w:t>
      </w:r>
    </w:p>
    <w:p w:rsidR="005C0D39" w:rsidRDefault="005C0D39" w:rsidP="005C0D39">
      <w:pPr>
        <w:spacing w:line="360" w:lineRule="auto"/>
        <w:ind w:firstLine="708"/>
        <w:rPr>
          <w:lang w:val="en-US"/>
        </w:rPr>
      </w:pPr>
      <w:r>
        <w:rPr>
          <w:noProof/>
        </w:rPr>
        <w:drawing>
          <wp:inline distT="0" distB="0" distL="0" distR="0">
            <wp:extent cx="4953663" cy="3236399"/>
            <wp:effectExtent l="0" t="0" r="0" b="254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6176" cy="3238041"/>
                    </a:xfrm>
                    <a:prstGeom prst="rect">
                      <a:avLst/>
                    </a:prstGeom>
                    <a:noFill/>
                  </pic:spPr>
                </pic:pic>
              </a:graphicData>
            </a:graphic>
          </wp:inline>
        </w:drawing>
      </w:r>
    </w:p>
    <w:p w:rsidR="005C0D39" w:rsidRPr="0017714C" w:rsidRDefault="005C0D39" w:rsidP="005C0D39">
      <w:pPr>
        <w:spacing w:line="360" w:lineRule="auto"/>
        <w:ind w:firstLine="708"/>
        <w:jc w:val="left"/>
        <w:rPr>
          <w:sz w:val="16"/>
          <w:szCs w:val="16"/>
          <w:lang w:val="en-US"/>
        </w:rPr>
      </w:pPr>
      <w:r w:rsidRPr="0017714C">
        <w:rPr>
          <w:sz w:val="16"/>
          <w:szCs w:val="16"/>
          <w:lang w:val="en-US"/>
        </w:rPr>
        <w:t>Source: Authors’ calculations based on RAIS</w:t>
      </w:r>
      <w:r>
        <w:rPr>
          <w:sz w:val="16"/>
          <w:szCs w:val="16"/>
          <w:lang w:val="en-US"/>
        </w:rPr>
        <w:t>/MTE data</w:t>
      </w:r>
      <w:r w:rsidRPr="0017714C">
        <w:rPr>
          <w:sz w:val="16"/>
          <w:szCs w:val="16"/>
          <w:lang w:val="en-US"/>
        </w:rPr>
        <w:t>.</w:t>
      </w:r>
    </w:p>
    <w:p w:rsidR="001C3F3B" w:rsidRDefault="001C3F3B" w:rsidP="001C3F3B">
      <w:pPr>
        <w:spacing w:line="360" w:lineRule="auto"/>
        <w:rPr>
          <w:lang w:val="en-US"/>
        </w:rPr>
      </w:pPr>
    </w:p>
    <w:p w:rsidR="001C3F3B" w:rsidRDefault="001C3F3B" w:rsidP="001C3F3B">
      <w:pPr>
        <w:spacing w:line="360" w:lineRule="auto"/>
        <w:rPr>
          <w:lang w:val="en-US"/>
        </w:rPr>
      </w:pPr>
      <w:r>
        <w:rPr>
          <w:lang w:val="en-US"/>
        </w:rPr>
        <w:t>Table 1 summarizes the time series of each group flow indicators. The Table initially reports the average value for the hiring rate (</w:t>
      </w:r>
      <w:r w:rsidRPr="007E58F9">
        <w:rPr>
          <w:i/>
          <w:lang w:val="en-US"/>
        </w:rPr>
        <w:t>H</w:t>
      </w:r>
      <w:r>
        <w:rPr>
          <w:lang w:val="en-US"/>
        </w:rPr>
        <w:t>), the separation rate (</w:t>
      </w:r>
      <w:r w:rsidRPr="007E58F9">
        <w:rPr>
          <w:i/>
          <w:lang w:val="en-US"/>
        </w:rPr>
        <w:t>S</w:t>
      </w:r>
      <w:r>
        <w:rPr>
          <w:lang w:val="en-US"/>
        </w:rPr>
        <w:t>), and the turnover rates (</w:t>
      </w:r>
      <w:r w:rsidRPr="007E58F9">
        <w:rPr>
          <w:i/>
          <w:lang w:val="en-US"/>
        </w:rPr>
        <w:t>T</w:t>
      </w:r>
      <w:r>
        <w:rPr>
          <w:lang w:val="en-US"/>
        </w:rPr>
        <w:t xml:space="preserve"> and </w:t>
      </w:r>
      <w:r w:rsidRPr="007E58F9">
        <w:rPr>
          <w:i/>
          <w:lang w:val="en-US"/>
        </w:rPr>
        <w:t>CH</w:t>
      </w:r>
      <w:r>
        <w:rPr>
          <w:lang w:val="en-US"/>
        </w:rPr>
        <w:t>) for both age groups for the period 1996-2010. From Figure 2 we knew that both the hiring and separation rates were higher for younger workers. Table 1 brings the magnitude of such difference. The first striking result is that the average hiring rate for youths (92.6%) is more than two times higher than the average hiring rate for adults (42.8%). This indicates that Brazilian youths do not seem to face problems to get jobs in the formal labor market in the country. The difference in separation is a little less pronounced but still of considerable magnitude. Indeed, the figure for youths is as high as 72.4%, while it amounts to 41.3% for the older group (1.8</w:t>
      </w:r>
      <w:r w:rsidR="009021DB">
        <w:rPr>
          <w:lang w:val="en-US"/>
        </w:rPr>
        <w:t xml:space="preserve"> </w:t>
      </w:r>
      <w:proofErr w:type="gramStart"/>
      <w:r w:rsidR="009021DB">
        <w:rPr>
          <w:lang w:val="en-US"/>
        </w:rPr>
        <w:t>ratio</w:t>
      </w:r>
      <w:proofErr w:type="gramEnd"/>
      <w:r>
        <w:rPr>
          <w:lang w:val="en-US"/>
        </w:rPr>
        <w:t>).</w:t>
      </w:r>
    </w:p>
    <w:p w:rsidR="009021DB" w:rsidRDefault="009021DB">
      <w:pPr>
        <w:spacing w:before="0"/>
        <w:jc w:val="left"/>
        <w:rPr>
          <w:lang w:val="en-US"/>
        </w:rPr>
      </w:pPr>
      <w:r>
        <w:rPr>
          <w:lang w:val="en-US"/>
        </w:rPr>
        <w:br w:type="page"/>
      </w:r>
    </w:p>
    <w:p w:rsidR="00417EAD" w:rsidRDefault="00417EAD" w:rsidP="005C0D39">
      <w:pPr>
        <w:spacing w:line="360" w:lineRule="auto"/>
        <w:ind w:firstLine="708"/>
        <w:rPr>
          <w:lang w:val="en-US"/>
        </w:rPr>
      </w:pPr>
    </w:p>
    <w:p w:rsidR="005C0D39" w:rsidRDefault="005C0D39" w:rsidP="005C0D39">
      <w:pPr>
        <w:spacing w:line="360" w:lineRule="auto"/>
        <w:ind w:firstLine="708"/>
        <w:rPr>
          <w:lang w:val="en-US"/>
        </w:rPr>
      </w:pPr>
      <w:r>
        <w:rPr>
          <w:lang w:val="en-US"/>
        </w:rPr>
        <w:t>Figure 3: Net employment growth rate by age group, 1996-2010</w:t>
      </w:r>
    </w:p>
    <w:p w:rsidR="005C0D39" w:rsidRDefault="005C0D39" w:rsidP="005C0D39">
      <w:pPr>
        <w:spacing w:line="360" w:lineRule="auto"/>
        <w:ind w:firstLine="708"/>
        <w:rPr>
          <w:lang w:val="en-US"/>
        </w:rPr>
      </w:pPr>
      <w:r>
        <w:rPr>
          <w:noProof/>
        </w:rPr>
        <w:drawing>
          <wp:inline distT="0" distB="0" distL="0" distR="0">
            <wp:extent cx="4802588" cy="2995012"/>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09416" cy="2999270"/>
                    </a:xfrm>
                    <a:prstGeom prst="rect">
                      <a:avLst/>
                    </a:prstGeom>
                    <a:noFill/>
                  </pic:spPr>
                </pic:pic>
              </a:graphicData>
            </a:graphic>
          </wp:inline>
        </w:drawing>
      </w:r>
    </w:p>
    <w:p w:rsidR="005C0D39" w:rsidRDefault="005C0D39" w:rsidP="005C0D39">
      <w:pPr>
        <w:spacing w:line="360" w:lineRule="auto"/>
        <w:ind w:firstLine="708"/>
        <w:rPr>
          <w:lang w:val="en-US"/>
        </w:rPr>
      </w:pPr>
      <w:r w:rsidRPr="0017714C">
        <w:rPr>
          <w:sz w:val="16"/>
          <w:szCs w:val="16"/>
          <w:lang w:val="en-US"/>
        </w:rPr>
        <w:t>Source: Authors’ calculations based on RAIS</w:t>
      </w:r>
      <w:r>
        <w:rPr>
          <w:sz w:val="16"/>
          <w:szCs w:val="16"/>
          <w:lang w:val="en-US"/>
        </w:rPr>
        <w:t>/MTE data</w:t>
      </w:r>
      <w:r w:rsidRPr="0017714C">
        <w:rPr>
          <w:sz w:val="16"/>
          <w:szCs w:val="16"/>
          <w:lang w:val="en-US"/>
        </w:rPr>
        <w:t>.</w:t>
      </w:r>
    </w:p>
    <w:p w:rsidR="00417EAD" w:rsidRDefault="00417EAD" w:rsidP="005C0D39">
      <w:pPr>
        <w:spacing w:line="360" w:lineRule="auto"/>
        <w:rPr>
          <w:lang w:val="en-US"/>
        </w:rPr>
      </w:pPr>
    </w:p>
    <w:p w:rsidR="005C0D39" w:rsidRDefault="005C0D39" w:rsidP="005C0D39">
      <w:pPr>
        <w:spacing w:line="360" w:lineRule="auto"/>
        <w:rPr>
          <w:lang w:val="en-US"/>
        </w:rPr>
      </w:pPr>
      <w:r>
        <w:rPr>
          <w:lang w:val="en-US"/>
        </w:rPr>
        <w:t xml:space="preserve">The comparison </w:t>
      </w:r>
      <w:r w:rsidR="009021DB">
        <w:rPr>
          <w:lang w:val="en-US"/>
        </w:rPr>
        <w:t>of</w:t>
      </w:r>
      <w:r>
        <w:rPr>
          <w:lang w:val="en-US"/>
        </w:rPr>
        <w:t xml:space="preserve"> turnover rates adds these two differences and provides the second striking result. Turnover rates </w:t>
      </w:r>
      <w:r w:rsidR="00FA7059">
        <w:rPr>
          <w:lang w:val="en-US"/>
        </w:rPr>
        <w:t>reach</w:t>
      </w:r>
      <w:r>
        <w:rPr>
          <w:lang w:val="en-US"/>
        </w:rPr>
        <w:t xml:space="preserve"> </w:t>
      </w:r>
      <w:r w:rsidR="00FA7059">
        <w:rPr>
          <w:lang w:val="en-US"/>
        </w:rPr>
        <w:t xml:space="preserve">the </w:t>
      </w:r>
      <w:r>
        <w:rPr>
          <w:lang w:val="en-US"/>
        </w:rPr>
        <w:t xml:space="preserve">impressive </w:t>
      </w:r>
      <w:r w:rsidR="00FA7059">
        <w:rPr>
          <w:lang w:val="en-US"/>
        </w:rPr>
        <w:t xml:space="preserve">value of </w:t>
      </w:r>
      <w:r>
        <w:rPr>
          <w:lang w:val="en-US"/>
        </w:rPr>
        <w:t xml:space="preserve">165.1% for young workers and 84.1% for adults. </w:t>
      </w:r>
      <w:r w:rsidRPr="00D217D7">
        <w:rPr>
          <w:lang w:val="en-US"/>
        </w:rPr>
        <w:t>The rate of 1.65 for youth</w:t>
      </w:r>
      <w:r>
        <w:rPr>
          <w:lang w:val="en-US"/>
        </w:rPr>
        <w:t>s</w:t>
      </w:r>
      <w:r w:rsidRPr="00D217D7">
        <w:rPr>
          <w:lang w:val="en-US"/>
        </w:rPr>
        <w:t xml:space="preserve"> means that there are more than eight younger worker transitions into and from formal employment for each five employed young workers, on average, each year. </w:t>
      </w:r>
      <w:r>
        <w:rPr>
          <w:lang w:val="en-US"/>
        </w:rPr>
        <w:t>Even the adult turnover rate is very high for</w:t>
      </w:r>
      <w:r w:rsidRPr="00584640">
        <w:rPr>
          <w:lang w:val="en-US"/>
        </w:rPr>
        <w:t xml:space="preserve"> international standards (see, e.g., Davis</w:t>
      </w:r>
      <w:r>
        <w:rPr>
          <w:lang w:val="en-US"/>
        </w:rPr>
        <w:t xml:space="preserve"> and </w:t>
      </w:r>
      <w:proofErr w:type="spellStart"/>
      <w:r>
        <w:rPr>
          <w:lang w:val="en-US"/>
        </w:rPr>
        <w:t>Haltiwanger</w:t>
      </w:r>
      <w:proofErr w:type="spellEnd"/>
      <w:r w:rsidRPr="00584640">
        <w:rPr>
          <w:lang w:val="en-US"/>
        </w:rPr>
        <w:t>, 1999</w:t>
      </w:r>
      <w:r w:rsidR="001C1099">
        <w:rPr>
          <w:rStyle w:val="Refdenotaderodap"/>
          <w:lang w:val="en-US"/>
        </w:rPr>
        <w:footnoteReference w:id="10"/>
      </w:r>
      <w:r w:rsidRPr="00584640">
        <w:rPr>
          <w:lang w:val="en-US"/>
        </w:rPr>
        <w:t xml:space="preserve"> and Corseuil and Santos, 2006).</w:t>
      </w:r>
      <w:r w:rsidR="00D37E44">
        <w:rPr>
          <w:lang w:val="en-US"/>
        </w:rPr>
        <w:t xml:space="preserve"> </w:t>
      </w:r>
      <w:r>
        <w:rPr>
          <w:lang w:val="en-US"/>
        </w:rPr>
        <w:t xml:space="preserve">Given the behavior of net employment growth rates mentioned above, the churning rate for youngsters decreases more than that for adults (with respect to the turnover rates), but the ratio between the two churning rates is still around 2. </w:t>
      </w:r>
    </w:p>
    <w:p w:rsidR="00417EAD" w:rsidRDefault="00417EAD" w:rsidP="00417EAD">
      <w:pPr>
        <w:spacing w:line="360" w:lineRule="auto"/>
        <w:rPr>
          <w:lang w:val="en-US"/>
        </w:rPr>
      </w:pPr>
      <w:r>
        <w:rPr>
          <w:lang w:val="en-US"/>
        </w:rPr>
        <w:t xml:space="preserve">From Figure 2 we can see that the hiring and separation rates for young workers are more disperse </w:t>
      </w:r>
      <w:r w:rsidR="009021DB">
        <w:rPr>
          <w:lang w:val="en-US"/>
        </w:rPr>
        <w:t xml:space="preserve">over time </w:t>
      </w:r>
      <w:r>
        <w:rPr>
          <w:lang w:val="en-US"/>
        </w:rPr>
        <w:t xml:space="preserve">than the corresponding ones for adults. In order to take that into account, we calculated the coefficients of variation (CV), which are also presented in Table 1. The interesting finding brought by the CV calculation is the reversal of the order of the comparison of the hiring and separation rates between the two groups. </w:t>
      </w:r>
      <w:r>
        <w:rPr>
          <w:lang w:val="en-US"/>
        </w:rPr>
        <w:lastRenderedPageBreak/>
        <w:t xml:space="preserve">Indeed, when the dispersion in the rates is incorporated, the differences between the groups become higher for separations (CV of 0.095 for youths and 0.069 for adults, ratio of 1.4) than for </w:t>
      </w:r>
      <w:proofErr w:type="spellStart"/>
      <w:r>
        <w:rPr>
          <w:lang w:val="en-US"/>
        </w:rPr>
        <w:t>hirings</w:t>
      </w:r>
      <w:proofErr w:type="spellEnd"/>
      <w:r>
        <w:rPr>
          <w:lang w:val="en-US"/>
        </w:rPr>
        <w:t xml:space="preserve"> (CV of 0.096 for youths and 0.084 for adults, ratio 1.1). One possible interpretation for this is that young workers </w:t>
      </w:r>
      <w:r w:rsidR="009021DB">
        <w:rPr>
          <w:lang w:val="en-US"/>
        </w:rPr>
        <w:t xml:space="preserve">flows, particularly hiring rates, </w:t>
      </w:r>
      <w:r>
        <w:rPr>
          <w:lang w:val="en-US"/>
        </w:rPr>
        <w:t>are relatively more affected by the business cycle.</w:t>
      </w:r>
    </w:p>
    <w:p w:rsidR="009021DB" w:rsidRDefault="009021DB" w:rsidP="00417EAD">
      <w:pPr>
        <w:spacing w:line="360" w:lineRule="auto"/>
        <w:rPr>
          <w:lang w:val="en-US"/>
        </w:rPr>
      </w:pPr>
    </w:p>
    <w:p w:rsidR="005C0D39" w:rsidRDefault="005C0D39" w:rsidP="005C0D39">
      <w:pPr>
        <w:spacing w:line="360" w:lineRule="auto"/>
        <w:rPr>
          <w:lang w:val="en-US"/>
        </w:rPr>
      </w:pPr>
      <w:r w:rsidRPr="00584640">
        <w:rPr>
          <w:lang w:val="en-US"/>
        </w:rPr>
        <w:t>Table 1</w:t>
      </w:r>
      <w:r>
        <w:rPr>
          <w:lang w:val="en-US"/>
        </w:rPr>
        <w:t>:</w:t>
      </w:r>
      <w:r w:rsidRPr="00D217D7">
        <w:rPr>
          <w:lang w:val="en-US"/>
        </w:rPr>
        <w:t xml:space="preserve"> Summary of flow indicators by age group, 1996-2010</w:t>
      </w:r>
    </w:p>
    <w:tbl>
      <w:tblPr>
        <w:tblW w:w="8492" w:type="dxa"/>
        <w:tblLook w:val="04A0" w:firstRow="1" w:lastRow="0" w:firstColumn="1" w:lastColumn="0" w:noHBand="0" w:noVBand="1"/>
      </w:tblPr>
      <w:tblGrid>
        <w:gridCol w:w="2416"/>
        <w:gridCol w:w="1519"/>
        <w:gridCol w:w="1519"/>
        <w:gridCol w:w="1519"/>
        <w:gridCol w:w="1519"/>
      </w:tblGrid>
      <w:tr w:rsidR="005C0D39" w:rsidRPr="00FC6D03" w:rsidTr="0030417A">
        <w:trPr>
          <w:trHeight w:val="307"/>
        </w:trPr>
        <w:tc>
          <w:tcPr>
            <w:tcW w:w="2416" w:type="dxa"/>
            <w:tcBorders>
              <w:top w:val="double" w:sz="6" w:space="0" w:color="auto"/>
              <w:left w:val="nil"/>
              <w:bottom w:val="single" w:sz="4" w:space="0" w:color="auto"/>
              <w:right w:val="nil"/>
            </w:tcBorders>
            <w:shd w:val="clear" w:color="auto" w:fill="auto"/>
            <w:noWrap/>
            <w:vAlign w:val="bottom"/>
            <w:hideMark/>
          </w:tcPr>
          <w:p w:rsidR="005C0D39" w:rsidRPr="00FC6D03" w:rsidRDefault="005C0D39" w:rsidP="0030417A">
            <w:pPr>
              <w:spacing w:before="0"/>
              <w:jc w:val="left"/>
              <w:rPr>
                <w:rFonts w:ascii="Calibri" w:hAnsi="Calibri"/>
                <w:color w:val="000000"/>
                <w:sz w:val="22"/>
                <w:szCs w:val="22"/>
                <w:lang w:val="en-US" w:eastAsia="en-US"/>
              </w:rPr>
            </w:pPr>
            <w:r w:rsidRPr="00FC6D03">
              <w:rPr>
                <w:rFonts w:ascii="Calibri" w:hAnsi="Calibri"/>
                <w:color w:val="000000"/>
                <w:sz w:val="22"/>
                <w:szCs w:val="22"/>
                <w:lang w:val="en-US" w:eastAsia="en-US"/>
              </w:rPr>
              <w:t> </w:t>
            </w:r>
          </w:p>
        </w:tc>
        <w:tc>
          <w:tcPr>
            <w:tcW w:w="1519" w:type="dxa"/>
            <w:tcBorders>
              <w:top w:val="double" w:sz="6" w:space="0" w:color="auto"/>
              <w:left w:val="nil"/>
              <w:bottom w:val="single" w:sz="4" w:space="0" w:color="auto"/>
              <w:right w:val="nil"/>
            </w:tcBorders>
            <w:shd w:val="clear" w:color="auto" w:fill="auto"/>
            <w:noWrap/>
            <w:vAlign w:val="bottom"/>
            <w:hideMark/>
          </w:tcPr>
          <w:p w:rsidR="005C0D39" w:rsidRPr="00FC6D03" w:rsidRDefault="005C0D39" w:rsidP="0030417A">
            <w:pPr>
              <w:spacing w:before="0"/>
              <w:jc w:val="center"/>
              <w:rPr>
                <w:rFonts w:ascii="Calibri" w:hAnsi="Calibri"/>
                <w:b/>
                <w:bCs/>
                <w:color w:val="000000"/>
                <w:sz w:val="22"/>
                <w:szCs w:val="22"/>
                <w:lang w:val="en-US" w:eastAsia="en-US"/>
              </w:rPr>
            </w:pPr>
            <w:r w:rsidRPr="00FC6D03">
              <w:rPr>
                <w:rFonts w:ascii="Calibri" w:hAnsi="Calibri"/>
                <w:b/>
                <w:bCs/>
                <w:color w:val="000000"/>
                <w:sz w:val="22"/>
                <w:szCs w:val="22"/>
                <w:lang w:val="en-US" w:eastAsia="en-US"/>
              </w:rPr>
              <w:t>H</w:t>
            </w:r>
          </w:p>
        </w:tc>
        <w:tc>
          <w:tcPr>
            <w:tcW w:w="1519" w:type="dxa"/>
            <w:tcBorders>
              <w:top w:val="double" w:sz="6" w:space="0" w:color="auto"/>
              <w:left w:val="nil"/>
              <w:bottom w:val="single" w:sz="4" w:space="0" w:color="auto"/>
              <w:right w:val="nil"/>
            </w:tcBorders>
            <w:shd w:val="clear" w:color="auto" w:fill="auto"/>
            <w:noWrap/>
            <w:vAlign w:val="bottom"/>
            <w:hideMark/>
          </w:tcPr>
          <w:p w:rsidR="005C0D39" w:rsidRPr="00FC6D03" w:rsidRDefault="005C0D39" w:rsidP="0030417A">
            <w:pPr>
              <w:spacing w:before="0"/>
              <w:jc w:val="center"/>
              <w:rPr>
                <w:rFonts w:ascii="Calibri" w:hAnsi="Calibri"/>
                <w:b/>
                <w:bCs/>
                <w:color w:val="000000"/>
                <w:sz w:val="22"/>
                <w:szCs w:val="22"/>
                <w:lang w:val="en-US" w:eastAsia="en-US"/>
              </w:rPr>
            </w:pPr>
            <w:r w:rsidRPr="00FC6D03">
              <w:rPr>
                <w:rFonts w:ascii="Calibri" w:hAnsi="Calibri"/>
                <w:b/>
                <w:bCs/>
                <w:color w:val="000000"/>
                <w:sz w:val="22"/>
                <w:szCs w:val="22"/>
                <w:lang w:val="en-US" w:eastAsia="en-US"/>
              </w:rPr>
              <w:t>S</w:t>
            </w:r>
          </w:p>
        </w:tc>
        <w:tc>
          <w:tcPr>
            <w:tcW w:w="1519" w:type="dxa"/>
            <w:tcBorders>
              <w:top w:val="double" w:sz="6" w:space="0" w:color="auto"/>
              <w:left w:val="nil"/>
              <w:bottom w:val="single" w:sz="4" w:space="0" w:color="auto"/>
              <w:right w:val="nil"/>
            </w:tcBorders>
            <w:shd w:val="clear" w:color="auto" w:fill="auto"/>
            <w:noWrap/>
            <w:vAlign w:val="bottom"/>
            <w:hideMark/>
          </w:tcPr>
          <w:p w:rsidR="005C0D39" w:rsidRPr="00FC6D03" w:rsidRDefault="005C0D39" w:rsidP="0030417A">
            <w:pPr>
              <w:spacing w:before="0"/>
              <w:jc w:val="center"/>
              <w:rPr>
                <w:rFonts w:ascii="Calibri" w:hAnsi="Calibri"/>
                <w:b/>
                <w:bCs/>
                <w:color w:val="000000"/>
                <w:sz w:val="22"/>
                <w:szCs w:val="22"/>
                <w:lang w:val="en-US" w:eastAsia="en-US"/>
              </w:rPr>
            </w:pPr>
            <w:r w:rsidRPr="00FC6D03">
              <w:rPr>
                <w:rFonts w:ascii="Calibri" w:hAnsi="Calibri"/>
                <w:b/>
                <w:bCs/>
                <w:color w:val="000000"/>
                <w:sz w:val="22"/>
                <w:szCs w:val="22"/>
                <w:lang w:val="en-US" w:eastAsia="en-US"/>
              </w:rPr>
              <w:t>T</w:t>
            </w:r>
          </w:p>
        </w:tc>
        <w:tc>
          <w:tcPr>
            <w:tcW w:w="1519" w:type="dxa"/>
            <w:tcBorders>
              <w:top w:val="double" w:sz="6" w:space="0" w:color="auto"/>
              <w:left w:val="nil"/>
              <w:bottom w:val="single" w:sz="4" w:space="0" w:color="auto"/>
              <w:right w:val="nil"/>
            </w:tcBorders>
            <w:shd w:val="clear" w:color="auto" w:fill="auto"/>
            <w:noWrap/>
            <w:vAlign w:val="bottom"/>
            <w:hideMark/>
          </w:tcPr>
          <w:p w:rsidR="005C0D39" w:rsidRPr="00FC6D03" w:rsidRDefault="005C0D39" w:rsidP="0030417A">
            <w:pPr>
              <w:spacing w:before="0"/>
              <w:jc w:val="center"/>
              <w:rPr>
                <w:rFonts w:ascii="Calibri" w:hAnsi="Calibri"/>
                <w:b/>
                <w:bCs/>
                <w:color w:val="000000"/>
                <w:sz w:val="22"/>
                <w:szCs w:val="22"/>
                <w:lang w:val="en-US" w:eastAsia="en-US"/>
              </w:rPr>
            </w:pPr>
            <w:r w:rsidRPr="00FC6D03">
              <w:rPr>
                <w:rFonts w:ascii="Calibri" w:hAnsi="Calibri"/>
                <w:b/>
                <w:bCs/>
                <w:color w:val="000000"/>
                <w:sz w:val="22"/>
                <w:szCs w:val="22"/>
                <w:lang w:val="en-US" w:eastAsia="en-US"/>
              </w:rPr>
              <w:t>CH</w:t>
            </w:r>
          </w:p>
        </w:tc>
      </w:tr>
      <w:tr w:rsidR="005C0D39" w:rsidRPr="00FC6D03" w:rsidTr="0030417A">
        <w:trPr>
          <w:trHeight w:val="293"/>
        </w:trPr>
        <w:tc>
          <w:tcPr>
            <w:tcW w:w="2416" w:type="dxa"/>
            <w:tcBorders>
              <w:top w:val="nil"/>
              <w:left w:val="nil"/>
              <w:bottom w:val="nil"/>
              <w:right w:val="nil"/>
            </w:tcBorders>
            <w:shd w:val="clear" w:color="auto" w:fill="auto"/>
            <w:noWrap/>
            <w:vAlign w:val="bottom"/>
            <w:hideMark/>
          </w:tcPr>
          <w:p w:rsidR="005C0D39" w:rsidRPr="00FC6D03" w:rsidRDefault="005C0D39" w:rsidP="0030417A">
            <w:pPr>
              <w:spacing w:before="0"/>
              <w:jc w:val="left"/>
              <w:rPr>
                <w:rFonts w:ascii="Calibri" w:hAnsi="Calibri"/>
                <w:b/>
                <w:bCs/>
                <w:color w:val="000000"/>
                <w:sz w:val="22"/>
                <w:szCs w:val="22"/>
                <w:lang w:val="en-US" w:eastAsia="en-US"/>
              </w:rPr>
            </w:pPr>
            <w:r w:rsidRPr="00FC6D03">
              <w:rPr>
                <w:rFonts w:ascii="Calibri" w:hAnsi="Calibri"/>
                <w:b/>
                <w:bCs/>
                <w:color w:val="000000"/>
                <w:sz w:val="22"/>
                <w:szCs w:val="22"/>
                <w:lang w:val="en-US" w:eastAsia="en-US"/>
              </w:rPr>
              <w:t>Youths</w:t>
            </w:r>
          </w:p>
        </w:tc>
        <w:tc>
          <w:tcPr>
            <w:tcW w:w="1519" w:type="dxa"/>
            <w:tcBorders>
              <w:top w:val="nil"/>
              <w:left w:val="nil"/>
              <w:bottom w:val="nil"/>
              <w:right w:val="nil"/>
            </w:tcBorders>
            <w:shd w:val="clear" w:color="auto" w:fill="auto"/>
            <w:noWrap/>
            <w:vAlign w:val="bottom"/>
            <w:hideMark/>
          </w:tcPr>
          <w:p w:rsidR="005C0D39" w:rsidRPr="00FC6D03" w:rsidRDefault="005C0D39" w:rsidP="0030417A">
            <w:pPr>
              <w:spacing w:before="0"/>
              <w:jc w:val="center"/>
              <w:rPr>
                <w:rFonts w:ascii="Calibri" w:hAnsi="Calibri"/>
                <w:color w:val="000000"/>
                <w:sz w:val="22"/>
                <w:szCs w:val="22"/>
                <w:lang w:val="en-US" w:eastAsia="en-US"/>
              </w:rPr>
            </w:pPr>
          </w:p>
        </w:tc>
        <w:tc>
          <w:tcPr>
            <w:tcW w:w="1519" w:type="dxa"/>
            <w:tcBorders>
              <w:top w:val="nil"/>
              <w:left w:val="nil"/>
              <w:bottom w:val="nil"/>
              <w:right w:val="nil"/>
            </w:tcBorders>
            <w:shd w:val="clear" w:color="auto" w:fill="auto"/>
            <w:noWrap/>
            <w:vAlign w:val="bottom"/>
            <w:hideMark/>
          </w:tcPr>
          <w:p w:rsidR="005C0D39" w:rsidRPr="00FC6D03" w:rsidRDefault="005C0D39" w:rsidP="0030417A">
            <w:pPr>
              <w:spacing w:before="0"/>
              <w:jc w:val="center"/>
              <w:rPr>
                <w:rFonts w:ascii="Calibri" w:hAnsi="Calibri"/>
                <w:color w:val="000000"/>
                <w:sz w:val="22"/>
                <w:szCs w:val="22"/>
                <w:lang w:val="en-US" w:eastAsia="en-US"/>
              </w:rPr>
            </w:pPr>
          </w:p>
        </w:tc>
        <w:tc>
          <w:tcPr>
            <w:tcW w:w="1519" w:type="dxa"/>
            <w:tcBorders>
              <w:top w:val="nil"/>
              <w:left w:val="nil"/>
              <w:bottom w:val="nil"/>
              <w:right w:val="nil"/>
            </w:tcBorders>
            <w:shd w:val="clear" w:color="auto" w:fill="auto"/>
            <w:noWrap/>
            <w:vAlign w:val="bottom"/>
            <w:hideMark/>
          </w:tcPr>
          <w:p w:rsidR="005C0D39" w:rsidRPr="00FC6D03" w:rsidRDefault="005C0D39" w:rsidP="0030417A">
            <w:pPr>
              <w:spacing w:before="0"/>
              <w:jc w:val="center"/>
              <w:rPr>
                <w:rFonts w:ascii="Calibri" w:hAnsi="Calibri"/>
                <w:color w:val="000000"/>
                <w:sz w:val="22"/>
                <w:szCs w:val="22"/>
                <w:lang w:val="en-US" w:eastAsia="en-US"/>
              </w:rPr>
            </w:pPr>
          </w:p>
        </w:tc>
        <w:tc>
          <w:tcPr>
            <w:tcW w:w="1519" w:type="dxa"/>
            <w:tcBorders>
              <w:top w:val="nil"/>
              <w:left w:val="nil"/>
              <w:bottom w:val="nil"/>
              <w:right w:val="nil"/>
            </w:tcBorders>
            <w:shd w:val="clear" w:color="auto" w:fill="auto"/>
            <w:noWrap/>
            <w:vAlign w:val="bottom"/>
            <w:hideMark/>
          </w:tcPr>
          <w:p w:rsidR="005C0D39" w:rsidRPr="00FC6D03" w:rsidRDefault="005C0D39" w:rsidP="0030417A">
            <w:pPr>
              <w:spacing w:before="0"/>
              <w:jc w:val="center"/>
              <w:rPr>
                <w:rFonts w:ascii="Calibri" w:hAnsi="Calibri"/>
                <w:color w:val="000000"/>
                <w:sz w:val="22"/>
                <w:szCs w:val="22"/>
                <w:lang w:val="en-US" w:eastAsia="en-US"/>
              </w:rPr>
            </w:pPr>
          </w:p>
        </w:tc>
      </w:tr>
      <w:tr w:rsidR="005C0D39" w:rsidRPr="00FC6D03" w:rsidTr="0030417A">
        <w:trPr>
          <w:trHeight w:val="293"/>
        </w:trPr>
        <w:tc>
          <w:tcPr>
            <w:tcW w:w="2416" w:type="dxa"/>
            <w:tcBorders>
              <w:top w:val="nil"/>
              <w:left w:val="nil"/>
              <w:bottom w:val="nil"/>
              <w:right w:val="nil"/>
            </w:tcBorders>
            <w:shd w:val="clear" w:color="auto" w:fill="auto"/>
            <w:noWrap/>
            <w:vAlign w:val="bottom"/>
            <w:hideMark/>
          </w:tcPr>
          <w:p w:rsidR="005C0D39" w:rsidRPr="00FC6D03" w:rsidRDefault="005C0D39" w:rsidP="0030417A">
            <w:pPr>
              <w:spacing w:before="0"/>
              <w:jc w:val="left"/>
              <w:rPr>
                <w:rFonts w:ascii="Calibri" w:hAnsi="Calibri"/>
                <w:b/>
                <w:bCs/>
                <w:color w:val="000000"/>
                <w:sz w:val="22"/>
                <w:szCs w:val="22"/>
                <w:lang w:val="en-US" w:eastAsia="en-US"/>
              </w:rPr>
            </w:pPr>
            <w:r w:rsidRPr="00FC6D03">
              <w:rPr>
                <w:rFonts w:ascii="Calibri" w:hAnsi="Calibri"/>
                <w:b/>
                <w:bCs/>
                <w:color w:val="000000"/>
                <w:sz w:val="22"/>
                <w:szCs w:val="22"/>
                <w:lang w:val="en-US" w:eastAsia="en-US"/>
              </w:rPr>
              <w:t xml:space="preserve">  Average</w:t>
            </w:r>
          </w:p>
        </w:tc>
        <w:tc>
          <w:tcPr>
            <w:tcW w:w="1519" w:type="dxa"/>
            <w:tcBorders>
              <w:top w:val="nil"/>
              <w:left w:val="nil"/>
              <w:bottom w:val="nil"/>
              <w:right w:val="nil"/>
            </w:tcBorders>
            <w:shd w:val="clear" w:color="auto" w:fill="auto"/>
            <w:noWrap/>
            <w:vAlign w:val="bottom"/>
            <w:hideMark/>
          </w:tcPr>
          <w:p w:rsidR="005C0D39" w:rsidRPr="00FC6D03" w:rsidRDefault="005C0D39" w:rsidP="0030417A">
            <w:pPr>
              <w:spacing w:before="0"/>
              <w:jc w:val="center"/>
              <w:rPr>
                <w:rFonts w:ascii="Calibri" w:hAnsi="Calibri"/>
                <w:color w:val="000000"/>
                <w:sz w:val="22"/>
                <w:szCs w:val="22"/>
                <w:lang w:val="en-US" w:eastAsia="en-US"/>
              </w:rPr>
            </w:pPr>
            <w:r w:rsidRPr="00FC6D03">
              <w:rPr>
                <w:rFonts w:ascii="Calibri" w:hAnsi="Calibri"/>
                <w:color w:val="000000"/>
                <w:sz w:val="22"/>
                <w:szCs w:val="22"/>
                <w:lang w:val="en-US" w:eastAsia="en-US"/>
              </w:rPr>
              <w:t>0.926</w:t>
            </w:r>
          </w:p>
        </w:tc>
        <w:tc>
          <w:tcPr>
            <w:tcW w:w="1519" w:type="dxa"/>
            <w:tcBorders>
              <w:top w:val="nil"/>
              <w:left w:val="nil"/>
              <w:bottom w:val="nil"/>
              <w:right w:val="nil"/>
            </w:tcBorders>
            <w:shd w:val="clear" w:color="auto" w:fill="auto"/>
            <w:noWrap/>
            <w:vAlign w:val="bottom"/>
            <w:hideMark/>
          </w:tcPr>
          <w:p w:rsidR="005C0D39" w:rsidRPr="00FC6D03" w:rsidRDefault="005C0D39" w:rsidP="0030417A">
            <w:pPr>
              <w:spacing w:before="0"/>
              <w:jc w:val="center"/>
              <w:rPr>
                <w:rFonts w:ascii="Calibri" w:hAnsi="Calibri"/>
                <w:color w:val="000000"/>
                <w:sz w:val="22"/>
                <w:szCs w:val="22"/>
                <w:lang w:val="en-US" w:eastAsia="en-US"/>
              </w:rPr>
            </w:pPr>
            <w:r w:rsidRPr="00FC6D03">
              <w:rPr>
                <w:rFonts w:ascii="Calibri" w:hAnsi="Calibri"/>
                <w:color w:val="000000"/>
                <w:sz w:val="22"/>
                <w:szCs w:val="22"/>
                <w:lang w:val="en-US" w:eastAsia="en-US"/>
              </w:rPr>
              <w:t>0.724</w:t>
            </w:r>
          </w:p>
        </w:tc>
        <w:tc>
          <w:tcPr>
            <w:tcW w:w="1519" w:type="dxa"/>
            <w:tcBorders>
              <w:top w:val="nil"/>
              <w:left w:val="nil"/>
              <w:bottom w:val="nil"/>
              <w:right w:val="nil"/>
            </w:tcBorders>
            <w:shd w:val="clear" w:color="auto" w:fill="auto"/>
            <w:noWrap/>
            <w:vAlign w:val="bottom"/>
            <w:hideMark/>
          </w:tcPr>
          <w:p w:rsidR="005C0D39" w:rsidRPr="00FC6D03" w:rsidRDefault="005C0D39" w:rsidP="0030417A">
            <w:pPr>
              <w:spacing w:before="0"/>
              <w:jc w:val="center"/>
              <w:rPr>
                <w:rFonts w:ascii="Calibri" w:hAnsi="Calibri"/>
                <w:color w:val="000000"/>
                <w:sz w:val="22"/>
                <w:szCs w:val="22"/>
                <w:lang w:val="en-US" w:eastAsia="en-US"/>
              </w:rPr>
            </w:pPr>
            <w:r w:rsidRPr="00FC6D03">
              <w:rPr>
                <w:rFonts w:ascii="Calibri" w:hAnsi="Calibri"/>
                <w:color w:val="000000"/>
                <w:sz w:val="22"/>
                <w:szCs w:val="22"/>
                <w:lang w:val="en-US" w:eastAsia="en-US"/>
              </w:rPr>
              <w:t>1.651</w:t>
            </w:r>
          </w:p>
        </w:tc>
        <w:tc>
          <w:tcPr>
            <w:tcW w:w="1519" w:type="dxa"/>
            <w:tcBorders>
              <w:top w:val="nil"/>
              <w:left w:val="nil"/>
              <w:bottom w:val="nil"/>
              <w:right w:val="nil"/>
            </w:tcBorders>
            <w:shd w:val="clear" w:color="auto" w:fill="auto"/>
            <w:noWrap/>
            <w:vAlign w:val="bottom"/>
            <w:hideMark/>
          </w:tcPr>
          <w:p w:rsidR="005C0D39" w:rsidRPr="00FC6D03" w:rsidRDefault="005C0D39" w:rsidP="0030417A">
            <w:pPr>
              <w:spacing w:before="0"/>
              <w:jc w:val="center"/>
              <w:rPr>
                <w:rFonts w:ascii="Calibri" w:hAnsi="Calibri"/>
                <w:color w:val="000000"/>
                <w:sz w:val="22"/>
                <w:szCs w:val="22"/>
                <w:lang w:val="en-US" w:eastAsia="en-US"/>
              </w:rPr>
            </w:pPr>
            <w:r w:rsidRPr="00FC6D03">
              <w:rPr>
                <w:rFonts w:ascii="Calibri" w:hAnsi="Calibri"/>
                <w:color w:val="000000"/>
                <w:sz w:val="22"/>
                <w:szCs w:val="22"/>
                <w:lang w:val="en-US" w:eastAsia="en-US"/>
              </w:rPr>
              <w:t>1.448</w:t>
            </w:r>
          </w:p>
        </w:tc>
      </w:tr>
      <w:tr w:rsidR="005C0D39" w:rsidRPr="00FC6D03" w:rsidTr="0030417A">
        <w:trPr>
          <w:trHeight w:val="293"/>
        </w:trPr>
        <w:tc>
          <w:tcPr>
            <w:tcW w:w="2416" w:type="dxa"/>
            <w:tcBorders>
              <w:top w:val="nil"/>
              <w:left w:val="nil"/>
              <w:bottom w:val="nil"/>
              <w:right w:val="nil"/>
            </w:tcBorders>
            <w:shd w:val="clear" w:color="auto" w:fill="auto"/>
            <w:noWrap/>
            <w:vAlign w:val="bottom"/>
            <w:hideMark/>
          </w:tcPr>
          <w:p w:rsidR="005C0D39" w:rsidRPr="00FC6D03" w:rsidRDefault="005C0D39" w:rsidP="0030417A">
            <w:pPr>
              <w:spacing w:before="0"/>
              <w:jc w:val="left"/>
              <w:rPr>
                <w:rFonts w:ascii="Calibri" w:hAnsi="Calibri"/>
                <w:b/>
                <w:bCs/>
                <w:color w:val="000000"/>
                <w:sz w:val="22"/>
                <w:szCs w:val="22"/>
                <w:lang w:val="en-US" w:eastAsia="en-US"/>
              </w:rPr>
            </w:pPr>
            <w:r w:rsidRPr="00FC6D03">
              <w:rPr>
                <w:rFonts w:ascii="Calibri" w:hAnsi="Calibri"/>
                <w:b/>
                <w:bCs/>
                <w:color w:val="000000"/>
                <w:sz w:val="22"/>
                <w:szCs w:val="22"/>
                <w:lang w:val="en-US" w:eastAsia="en-US"/>
              </w:rPr>
              <w:t xml:space="preserve">  CV</w:t>
            </w:r>
          </w:p>
        </w:tc>
        <w:tc>
          <w:tcPr>
            <w:tcW w:w="1519" w:type="dxa"/>
            <w:tcBorders>
              <w:top w:val="nil"/>
              <w:left w:val="nil"/>
              <w:bottom w:val="nil"/>
              <w:right w:val="nil"/>
            </w:tcBorders>
            <w:shd w:val="clear" w:color="auto" w:fill="auto"/>
            <w:noWrap/>
            <w:vAlign w:val="bottom"/>
            <w:hideMark/>
          </w:tcPr>
          <w:p w:rsidR="005C0D39" w:rsidRPr="00FC6D03" w:rsidRDefault="005C0D39" w:rsidP="0030417A">
            <w:pPr>
              <w:spacing w:before="0"/>
              <w:jc w:val="center"/>
              <w:rPr>
                <w:rFonts w:ascii="Calibri" w:hAnsi="Calibri"/>
                <w:color w:val="000000"/>
                <w:sz w:val="22"/>
                <w:szCs w:val="22"/>
                <w:lang w:val="en-US" w:eastAsia="en-US"/>
              </w:rPr>
            </w:pPr>
            <w:r w:rsidRPr="00FC6D03">
              <w:rPr>
                <w:rFonts w:ascii="Calibri" w:hAnsi="Calibri"/>
                <w:color w:val="000000"/>
                <w:sz w:val="22"/>
                <w:szCs w:val="22"/>
                <w:lang w:val="en-US" w:eastAsia="en-US"/>
              </w:rPr>
              <w:t>0.096</w:t>
            </w:r>
          </w:p>
        </w:tc>
        <w:tc>
          <w:tcPr>
            <w:tcW w:w="1519" w:type="dxa"/>
            <w:tcBorders>
              <w:top w:val="nil"/>
              <w:left w:val="nil"/>
              <w:bottom w:val="nil"/>
              <w:right w:val="nil"/>
            </w:tcBorders>
            <w:shd w:val="clear" w:color="auto" w:fill="auto"/>
            <w:noWrap/>
            <w:vAlign w:val="bottom"/>
            <w:hideMark/>
          </w:tcPr>
          <w:p w:rsidR="005C0D39" w:rsidRPr="00FC6D03" w:rsidRDefault="005C0D39" w:rsidP="0030417A">
            <w:pPr>
              <w:spacing w:before="0"/>
              <w:jc w:val="center"/>
              <w:rPr>
                <w:rFonts w:ascii="Calibri" w:hAnsi="Calibri"/>
                <w:color w:val="000000"/>
                <w:sz w:val="22"/>
                <w:szCs w:val="22"/>
                <w:lang w:val="en-US" w:eastAsia="en-US"/>
              </w:rPr>
            </w:pPr>
            <w:r w:rsidRPr="00FC6D03">
              <w:rPr>
                <w:rFonts w:ascii="Calibri" w:hAnsi="Calibri"/>
                <w:color w:val="000000"/>
                <w:sz w:val="22"/>
                <w:szCs w:val="22"/>
                <w:lang w:val="en-US" w:eastAsia="en-US"/>
              </w:rPr>
              <w:t>0.095</w:t>
            </w:r>
          </w:p>
        </w:tc>
        <w:tc>
          <w:tcPr>
            <w:tcW w:w="1519" w:type="dxa"/>
            <w:tcBorders>
              <w:top w:val="nil"/>
              <w:left w:val="nil"/>
              <w:bottom w:val="nil"/>
              <w:right w:val="nil"/>
            </w:tcBorders>
            <w:shd w:val="clear" w:color="auto" w:fill="auto"/>
            <w:noWrap/>
            <w:vAlign w:val="bottom"/>
            <w:hideMark/>
          </w:tcPr>
          <w:p w:rsidR="005C0D39" w:rsidRPr="00FC6D03" w:rsidRDefault="005C0D39" w:rsidP="0030417A">
            <w:pPr>
              <w:spacing w:before="0"/>
              <w:jc w:val="center"/>
              <w:rPr>
                <w:rFonts w:ascii="Calibri" w:hAnsi="Calibri"/>
                <w:color w:val="000000"/>
                <w:sz w:val="22"/>
                <w:szCs w:val="22"/>
                <w:lang w:val="en-US" w:eastAsia="en-US"/>
              </w:rPr>
            </w:pPr>
            <w:r w:rsidRPr="00FC6D03">
              <w:rPr>
                <w:rFonts w:ascii="Calibri" w:hAnsi="Calibri"/>
                <w:color w:val="000000"/>
                <w:sz w:val="22"/>
                <w:szCs w:val="22"/>
                <w:lang w:val="en-US" w:eastAsia="en-US"/>
              </w:rPr>
              <w:t>0.094</w:t>
            </w:r>
          </w:p>
        </w:tc>
        <w:tc>
          <w:tcPr>
            <w:tcW w:w="1519" w:type="dxa"/>
            <w:tcBorders>
              <w:top w:val="nil"/>
              <w:left w:val="nil"/>
              <w:bottom w:val="nil"/>
              <w:right w:val="nil"/>
            </w:tcBorders>
            <w:shd w:val="clear" w:color="auto" w:fill="auto"/>
            <w:noWrap/>
            <w:vAlign w:val="bottom"/>
            <w:hideMark/>
          </w:tcPr>
          <w:p w:rsidR="005C0D39" w:rsidRPr="00FC6D03" w:rsidRDefault="005C0D39" w:rsidP="0030417A">
            <w:pPr>
              <w:spacing w:before="0"/>
              <w:jc w:val="center"/>
              <w:rPr>
                <w:rFonts w:ascii="Calibri" w:hAnsi="Calibri"/>
                <w:color w:val="000000"/>
                <w:sz w:val="22"/>
                <w:szCs w:val="22"/>
                <w:lang w:val="en-US" w:eastAsia="en-US"/>
              </w:rPr>
            </w:pPr>
            <w:r w:rsidRPr="00FC6D03">
              <w:rPr>
                <w:rFonts w:ascii="Calibri" w:hAnsi="Calibri"/>
                <w:color w:val="000000"/>
                <w:sz w:val="22"/>
                <w:szCs w:val="22"/>
                <w:lang w:val="en-US" w:eastAsia="en-US"/>
              </w:rPr>
              <w:t>0.137</w:t>
            </w:r>
          </w:p>
        </w:tc>
      </w:tr>
      <w:tr w:rsidR="005C0D39" w:rsidRPr="00FC6D03" w:rsidTr="0030417A">
        <w:trPr>
          <w:trHeight w:val="293"/>
        </w:trPr>
        <w:tc>
          <w:tcPr>
            <w:tcW w:w="2416" w:type="dxa"/>
            <w:tcBorders>
              <w:top w:val="nil"/>
              <w:left w:val="nil"/>
              <w:bottom w:val="nil"/>
              <w:right w:val="nil"/>
            </w:tcBorders>
            <w:shd w:val="clear" w:color="auto" w:fill="auto"/>
            <w:noWrap/>
            <w:vAlign w:val="bottom"/>
            <w:hideMark/>
          </w:tcPr>
          <w:p w:rsidR="005C0D39" w:rsidRPr="00FC6D03" w:rsidRDefault="005C0D39" w:rsidP="0030417A">
            <w:pPr>
              <w:spacing w:before="0"/>
              <w:jc w:val="left"/>
              <w:rPr>
                <w:rFonts w:ascii="Calibri" w:hAnsi="Calibri"/>
                <w:b/>
                <w:bCs/>
                <w:color w:val="000000"/>
                <w:sz w:val="22"/>
                <w:szCs w:val="22"/>
                <w:lang w:val="en-US" w:eastAsia="en-US"/>
              </w:rPr>
            </w:pPr>
            <w:r w:rsidRPr="00FC6D03">
              <w:rPr>
                <w:rFonts w:ascii="Calibri" w:hAnsi="Calibri"/>
                <w:b/>
                <w:bCs/>
                <w:color w:val="000000"/>
                <w:sz w:val="22"/>
                <w:szCs w:val="22"/>
                <w:lang w:val="en-US" w:eastAsia="en-US"/>
              </w:rPr>
              <w:t xml:space="preserve">  CORR GDP</w:t>
            </w:r>
          </w:p>
        </w:tc>
        <w:tc>
          <w:tcPr>
            <w:tcW w:w="1519" w:type="dxa"/>
            <w:tcBorders>
              <w:top w:val="nil"/>
              <w:left w:val="nil"/>
              <w:bottom w:val="nil"/>
              <w:right w:val="nil"/>
            </w:tcBorders>
            <w:shd w:val="clear" w:color="auto" w:fill="auto"/>
            <w:noWrap/>
            <w:vAlign w:val="bottom"/>
            <w:hideMark/>
          </w:tcPr>
          <w:p w:rsidR="005C0D39" w:rsidRPr="00FC6D03" w:rsidRDefault="005C0D39" w:rsidP="0030417A">
            <w:pPr>
              <w:spacing w:before="0"/>
              <w:jc w:val="center"/>
              <w:rPr>
                <w:rFonts w:ascii="Calibri" w:hAnsi="Calibri"/>
                <w:color w:val="000000"/>
                <w:sz w:val="22"/>
                <w:szCs w:val="22"/>
                <w:lang w:val="en-US" w:eastAsia="en-US"/>
              </w:rPr>
            </w:pPr>
            <w:r w:rsidRPr="00FC6D03">
              <w:rPr>
                <w:rFonts w:ascii="Calibri" w:hAnsi="Calibri"/>
                <w:color w:val="000000"/>
                <w:sz w:val="22"/>
                <w:szCs w:val="22"/>
                <w:lang w:val="en-US" w:eastAsia="en-US"/>
              </w:rPr>
              <w:t>0.708</w:t>
            </w:r>
          </w:p>
        </w:tc>
        <w:tc>
          <w:tcPr>
            <w:tcW w:w="1519" w:type="dxa"/>
            <w:tcBorders>
              <w:top w:val="nil"/>
              <w:left w:val="nil"/>
              <w:bottom w:val="nil"/>
              <w:right w:val="nil"/>
            </w:tcBorders>
            <w:shd w:val="clear" w:color="auto" w:fill="auto"/>
            <w:noWrap/>
            <w:vAlign w:val="bottom"/>
            <w:hideMark/>
          </w:tcPr>
          <w:p w:rsidR="005C0D39" w:rsidRPr="00FC6D03" w:rsidRDefault="005C0D39" w:rsidP="0030417A">
            <w:pPr>
              <w:spacing w:before="0"/>
              <w:jc w:val="center"/>
              <w:rPr>
                <w:rFonts w:ascii="Calibri" w:hAnsi="Calibri"/>
                <w:color w:val="000000"/>
                <w:sz w:val="22"/>
                <w:szCs w:val="22"/>
                <w:lang w:val="en-US" w:eastAsia="en-US"/>
              </w:rPr>
            </w:pPr>
            <w:r w:rsidRPr="00FC6D03">
              <w:rPr>
                <w:rFonts w:ascii="Calibri" w:hAnsi="Calibri"/>
                <w:color w:val="000000"/>
                <w:sz w:val="22"/>
                <w:szCs w:val="22"/>
                <w:lang w:val="en-US" w:eastAsia="en-US"/>
              </w:rPr>
              <w:t>0.563</w:t>
            </w:r>
          </w:p>
        </w:tc>
        <w:tc>
          <w:tcPr>
            <w:tcW w:w="1519" w:type="dxa"/>
            <w:tcBorders>
              <w:top w:val="nil"/>
              <w:left w:val="nil"/>
              <w:bottom w:val="nil"/>
              <w:right w:val="nil"/>
            </w:tcBorders>
            <w:shd w:val="clear" w:color="auto" w:fill="auto"/>
            <w:noWrap/>
            <w:vAlign w:val="bottom"/>
            <w:hideMark/>
          </w:tcPr>
          <w:p w:rsidR="005C0D39" w:rsidRPr="00FC6D03" w:rsidRDefault="005C0D39" w:rsidP="0030417A">
            <w:pPr>
              <w:spacing w:before="0"/>
              <w:jc w:val="center"/>
              <w:rPr>
                <w:rFonts w:ascii="Calibri" w:hAnsi="Calibri"/>
                <w:color w:val="000000"/>
                <w:sz w:val="22"/>
                <w:szCs w:val="22"/>
                <w:lang w:val="en-US" w:eastAsia="en-US"/>
              </w:rPr>
            </w:pPr>
            <w:r w:rsidRPr="00FC6D03">
              <w:rPr>
                <w:rFonts w:ascii="Calibri" w:hAnsi="Calibri"/>
                <w:color w:val="000000"/>
                <w:sz w:val="22"/>
                <w:szCs w:val="22"/>
                <w:lang w:val="en-US" w:eastAsia="en-US"/>
              </w:rPr>
              <w:t>0.652</w:t>
            </w:r>
          </w:p>
        </w:tc>
        <w:tc>
          <w:tcPr>
            <w:tcW w:w="1519" w:type="dxa"/>
            <w:tcBorders>
              <w:top w:val="nil"/>
              <w:left w:val="nil"/>
              <w:bottom w:val="nil"/>
              <w:right w:val="nil"/>
            </w:tcBorders>
            <w:shd w:val="clear" w:color="auto" w:fill="auto"/>
            <w:noWrap/>
            <w:vAlign w:val="bottom"/>
            <w:hideMark/>
          </w:tcPr>
          <w:p w:rsidR="005C0D39" w:rsidRPr="00FC6D03" w:rsidRDefault="005C0D39" w:rsidP="0030417A">
            <w:pPr>
              <w:spacing w:before="0"/>
              <w:jc w:val="center"/>
              <w:rPr>
                <w:rFonts w:ascii="Calibri" w:hAnsi="Calibri"/>
                <w:color w:val="000000"/>
                <w:sz w:val="22"/>
                <w:szCs w:val="22"/>
                <w:lang w:val="en-US" w:eastAsia="en-US"/>
              </w:rPr>
            </w:pPr>
            <w:r w:rsidRPr="00FC6D03">
              <w:rPr>
                <w:rFonts w:ascii="Calibri" w:hAnsi="Calibri"/>
                <w:color w:val="000000"/>
                <w:sz w:val="22"/>
                <w:szCs w:val="22"/>
                <w:lang w:val="en-US" w:eastAsia="en-US"/>
              </w:rPr>
              <w:t>0.563</w:t>
            </w:r>
          </w:p>
        </w:tc>
      </w:tr>
      <w:tr w:rsidR="005C0D39" w:rsidRPr="00FC6D03" w:rsidTr="0030417A">
        <w:trPr>
          <w:trHeight w:val="293"/>
        </w:trPr>
        <w:tc>
          <w:tcPr>
            <w:tcW w:w="2416" w:type="dxa"/>
            <w:tcBorders>
              <w:top w:val="nil"/>
              <w:left w:val="nil"/>
              <w:bottom w:val="nil"/>
              <w:right w:val="nil"/>
            </w:tcBorders>
            <w:shd w:val="clear" w:color="auto" w:fill="auto"/>
            <w:noWrap/>
            <w:vAlign w:val="bottom"/>
            <w:hideMark/>
          </w:tcPr>
          <w:p w:rsidR="005C0D39" w:rsidRPr="00FC6D03" w:rsidRDefault="005C0D39" w:rsidP="0030417A">
            <w:pPr>
              <w:spacing w:before="0"/>
              <w:jc w:val="left"/>
              <w:rPr>
                <w:rFonts w:ascii="Calibri" w:hAnsi="Calibri"/>
                <w:b/>
                <w:bCs/>
                <w:color w:val="000000"/>
                <w:sz w:val="22"/>
                <w:szCs w:val="22"/>
                <w:lang w:val="en-US" w:eastAsia="en-US"/>
              </w:rPr>
            </w:pPr>
          </w:p>
        </w:tc>
        <w:tc>
          <w:tcPr>
            <w:tcW w:w="1519" w:type="dxa"/>
            <w:tcBorders>
              <w:top w:val="nil"/>
              <w:left w:val="nil"/>
              <w:bottom w:val="nil"/>
              <w:right w:val="nil"/>
            </w:tcBorders>
            <w:shd w:val="clear" w:color="auto" w:fill="auto"/>
            <w:noWrap/>
            <w:vAlign w:val="bottom"/>
            <w:hideMark/>
          </w:tcPr>
          <w:p w:rsidR="005C0D39" w:rsidRPr="00FC6D03" w:rsidRDefault="005C0D39" w:rsidP="0030417A">
            <w:pPr>
              <w:spacing w:before="0"/>
              <w:jc w:val="center"/>
              <w:rPr>
                <w:rFonts w:ascii="Calibri" w:hAnsi="Calibri"/>
                <w:color w:val="000000"/>
                <w:sz w:val="22"/>
                <w:szCs w:val="22"/>
                <w:lang w:val="en-US" w:eastAsia="en-US"/>
              </w:rPr>
            </w:pPr>
          </w:p>
        </w:tc>
        <w:tc>
          <w:tcPr>
            <w:tcW w:w="1519" w:type="dxa"/>
            <w:tcBorders>
              <w:top w:val="nil"/>
              <w:left w:val="nil"/>
              <w:bottom w:val="nil"/>
              <w:right w:val="nil"/>
            </w:tcBorders>
            <w:shd w:val="clear" w:color="auto" w:fill="auto"/>
            <w:noWrap/>
            <w:vAlign w:val="bottom"/>
            <w:hideMark/>
          </w:tcPr>
          <w:p w:rsidR="005C0D39" w:rsidRPr="00FC6D03" w:rsidRDefault="005C0D39" w:rsidP="0030417A">
            <w:pPr>
              <w:spacing w:before="0"/>
              <w:jc w:val="center"/>
              <w:rPr>
                <w:rFonts w:ascii="Calibri" w:hAnsi="Calibri"/>
                <w:color w:val="000000"/>
                <w:sz w:val="22"/>
                <w:szCs w:val="22"/>
                <w:lang w:val="en-US" w:eastAsia="en-US"/>
              </w:rPr>
            </w:pPr>
          </w:p>
        </w:tc>
        <w:tc>
          <w:tcPr>
            <w:tcW w:w="1519" w:type="dxa"/>
            <w:tcBorders>
              <w:top w:val="nil"/>
              <w:left w:val="nil"/>
              <w:bottom w:val="nil"/>
              <w:right w:val="nil"/>
            </w:tcBorders>
            <w:shd w:val="clear" w:color="auto" w:fill="auto"/>
            <w:noWrap/>
            <w:vAlign w:val="bottom"/>
            <w:hideMark/>
          </w:tcPr>
          <w:p w:rsidR="005C0D39" w:rsidRPr="00FC6D03" w:rsidRDefault="005C0D39" w:rsidP="0030417A">
            <w:pPr>
              <w:spacing w:before="0"/>
              <w:jc w:val="center"/>
              <w:rPr>
                <w:rFonts w:ascii="Calibri" w:hAnsi="Calibri"/>
                <w:color w:val="000000"/>
                <w:sz w:val="22"/>
                <w:szCs w:val="22"/>
                <w:lang w:val="en-US" w:eastAsia="en-US"/>
              </w:rPr>
            </w:pPr>
          </w:p>
        </w:tc>
        <w:tc>
          <w:tcPr>
            <w:tcW w:w="1519" w:type="dxa"/>
            <w:tcBorders>
              <w:top w:val="nil"/>
              <w:left w:val="nil"/>
              <w:bottom w:val="nil"/>
              <w:right w:val="nil"/>
            </w:tcBorders>
            <w:shd w:val="clear" w:color="auto" w:fill="auto"/>
            <w:noWrap/>
            <w:vAlign w:val="bottom"/>
            <w:hideMark/>
          </w:tcPr>
          <w:p w:rsidR="005C0D39" w:rsidRPr="00FC6D03" w:rsidRDefault="005C0D39" w:rsidP="0030417A">
            <w:pPr>
              <w:spacing w:before="0"/>
              <w:jc w:val="center"/>
              <w:rPr>
                <w:rFonts w:ascii="Calibri" w:hAnsi="Calibri"/>
                <w:color w:val="000000"/>
                <w:sz w:val="22"/>
                <w:szCs w:val="22"/>
                <w:lang w:val="en-US" w:eastAsia="en-US"/>
              </w:rPr>
            </w:pPr>
          </w:p>
        </w:tc>
      </w:tr>
      <w:tr w:rsidR="005C0D39" w:rsidRPr="00FC6D03" w:rsidTr="0030417A">
        <w:trPr>
          <w:trHeight w:val="293"/>
        </w:trPr>
        <w:tc>
          <w:tcPr>
            <w:tcW w:w="2416" w:type="dxa"/>
            <w:tcBorders>
              <w:top w:val="nil"/>
              <w:left w:val="nil"/>
              <w:bottom w:val="nil"/>
              <w:right w:val="nil"/>
            </w:tcBorders>
            <w:shd w:val="clear" w:color="auto" w:fill="auto"/>
            <w:noWrap/>
            <w:vAlign w:val="bottom"/>
            <w:hideMark/>
          </w:tcPr>
          <w:p w:rsidR="005C0D39" w:rsidRPr="00FC6D03" w:rsidRDefault="005C0D39" w:rsidP="0030417A">
            <w:pPr>
              <w:spacing w:before="0"/>
              <w:jc w:val="left"/>
              <w:rPr>
                <w:rFonts w:ascii="Calibri" w:hAnsi="Calibri"/>
                <w:b/>
                <w:bCs/>
                <w:color w:val="000000"/>
                <w:sz w:val="22"/>
                <w:szCs w:val="22"/>
                <w:lang w:val="en-US" w:eastAsia="en-US"/>
              </w:rPr>
            </w:pPr>
            <w:r w:rsidRPr="00FC6D03">
              <w:rPr>
                <w:rFonts w:ascii="Calibri" w:hAnsi="Calibri"/>
                <w:b/>
                <w:bCs/>
                <w:color w:val="000000"/>
                <w:sz w:val="22"/>
                <w:szCs w:val="22"/>
                <w:lang w:val="en-US" w:eastAsia="en-US"/>
              </w:rPr>
              <w:t>Adults</w:t>
            </w:r>
          </w:p>
        </w:tc>
        <w:tc>
          <w:tcPr>
            <w:tcW w:w="1519" w:type="dxa"/>
            <w:tcBorders>
              <w:top w:val="nil"/>
              <w:left w:val="nil"/>
              <w:bottom w:val="nil"/>
              <w:right w:val="nil"/>
            </w:tcBorders>
            <w:shd w:val="clear" w:color="auto" w:fill="auto"/>
            <w:noWrap/>
            <w:vAlign w:val="bottom"/>
            <w:hideMark/>
          </w:tcPr>
          <w:p w:rsidR="005C0D39" w:rsidRPr="00FC6D03" w:rsidRDefault="005C0D39" w:rsidP="0030417A">
            <w:pPr>
              <w:spacing w:before="0"/>
              <w:jc w:val="center"/>
              <w:rPr>
                <w:rFonts w:ascii="Calibri" w:hAnsi="Calibri"/>
                <w:color w:val="000000"/>
                <w:sz w:val="22"/>
                <w:szCs w:val="22"/>
                <w:lang w:val="en-US" w:eastAsia="en-US"/>
              </w:rPr>
            </w:pPr>
          </w:p>
        </w:tc>
        <w:tc>
          <w:tcPr>
            <w:tcW w:w="1519" w:type="dxa"/>
            <w:tcBorders>
              <w:top w:val="nil"/>
              <w:left w:val="nil"/>
              <w:bottom w:val="nil"/>
              <w:right w:val="nil"/>
            </w:tcBorders>
            <w:shd w:val="clear" w:color="auto" w:fill="auto"/>
            <w:noWrap/>
            <w:vAlign w:val="bottom"/>
            <w:hideMark/>
          </w:tcPr>
          <w:p w:rsidR="005C0D39" w:rsidRPr="00FC6D03" w:rsidRDefault="005C0D39" w:rsidP="0030417A">
            <w:pPr>
              <w:spacing w:before="0"/>
              <w:jc w:val="center"/>
              <w:rPr>
                <w:rFonts w:ascii="Calibri" w:hAnsi="Calibri"/>
                <w:color w:val="000000"/>
                <w:sz w:val="22"/>
                <w:szCs w:val="22"/>
                <w:lang w:val="en-US" w:eastAsia="en-US"/>
              </w:rPr>
            </w:pPr>
          </w:p>
        </w:tc>
        <w:tc>
          <w:tcPr>
            <w:tcW w:w="1519" w:type="dxa"/>
            <w:tcBorders>
              <w:top w:val="nil"/>
              <w:left w:val="nil"/>
              <w:bottom w:val="nil"/>
              <w:right w:val="nil"/>
            </w:tcBorders>
            <w:shd w:val="clear" w:color="auto" w:fill="auto"/>
            <w:noWrap/>
            <w:vAlign w:val="bottom"/>
            <w:hideMark/>
          </w:tcPr>
          <w:p w:rsidR="005C0D39" w:rsidRPr="00FC6D03" w:rsidRDefault="005C0D39" w:rsidP="0030417A">
            <w:pPr>
              <w:spacing w:before="0"/>
              <w:jc w:val="center"/>
              <w:rPr>
                <w:rFonts w:ascii="Calibri" w:hAnsi="Calibri"/>
                <w:color w:val="000000"/>
                <w:sz w:val="22"/>
                <w:szCs w:val="22"/>
                <w:lang w:val="en-US" w:eastAsia="en-US"/>
              </w:rPr>
            </w:pPr>
          </w:p>
        </w:tc>
        <w:tc>
          <w:tcPr>
            <w:tcW w:w="1519" w:type="dxa"/>
            <w:tcBorders>
              <w:top w:val="nil"/>
              <w:left w:val="nil"/>
              <w:bottom w:val="nil"/>
              <w:right w:val="nil"/>
            </w:tcBorders>
            <w:shd w:val="clear" w:color="auto" w:fill="auto"/>
            <w:noWrap/>
            <w:vAlign w:val="bottom"/>
            <w:hideMark/>
          </w:tcPr>
          <w:p w:rsidR="005C0D39" w:rsidRPr="00FC6D03" w:rsidRDefault="005C0D39" w:rsidP="0030417A">
            <w:pPr>
              <w:spacing w:before="0"/>
              <w:jc w:val="center"/>
              <w:rPr>
                <w:rFonts w:ascii="Calibri" w:hAnsi="Calibri"/>
                <w:color w:val="000000"/>
                <w:sz w:val="22"/>
                <w:szCs w:val="22"/>
                <w:lang w:val="en-US" w:eastAsia="en-US"/>
              </w:rPr>
            </w:pPr>
          </w:p>
        </w:tc>
      </w:tr>
      <w:tr w:rsidR="005C0D39" w:rsidRPr="00FC6D03" w:rsidTr="0030417A">
        <w:trPr>
          <w:trHeight w:val="293"/>
        </w:trPr>
        <w:tc>
          <w:tcPr>
            <w:tcW w:w="2416" w:type="dxa"/>
            <w:tcBorders>
              <w:top w:val="nil"/>
              <w:left w:val="nil"/>
              <w:bottom w:val="nil"/>
              <w:right w:val="nil"/>
            </w:tcBorders>
            <w:shd w:val="clear" w:color="auto" w:fill="auto"/>
            <w:noWrap/>
            <w:vAlign w:val="bottom"/>
            <w:hideMark/>
          </w:tcPr>
          <w:p w:rsidR="005C0D39" w:rsidRPr="00FC6D03" w:rsidRDefault="005C0D39" w:rsidP="0030417A">
            <w:pPr>
              <w:spacing w:before="0"/>
              <w:jc w:val="left"/>
              <w:rPr>
                <w:rFonts w:ascii="Calibri" w:hAnsi="Calibri"/>
                <w:b/>
                <w:bCs/>
                <w:color w:val="000000"/>
                <w:sz w:val="22"/>
                <w:szCs w:val="22"/>
                <w:lang w:val="en-US" w:eastAsia="en-US"/>
              </w:rPr>
            </w:pPr>
            <w:r w:rsidRPr="00FC6D03">
              <w:rPr>
                <w:rFonts w:ascii="Calibri" w:hAnsi="Calibri"/>
                <w:b/>
                <w:bCs/>
                <w:color w:val="000000"/>
                <w:sz w:val="22"/>
                <w:szCs w:val="22"/>
                <w:lang w:val="en-US" w:eastAsia="en-US"/>
              </w:rPr>
              <w:t xml:space="preserve">  Average</w:t>
            </w:r>
          </w:p>
        </w:tc>
        <w:tc>
          <w:tcPr>
            <w:tcW w:w="1519" w:type="dxa"/>
            <w:tcBorders>
              <w:top w:val="nil"/>
              <w:left w:val="nil"/>
              <w:bottom w:val="nil"/>
              <w:right w:val="nil"/>
            </w:tcBorders>
            <w:shd w:val="clear" w:color="auto" w:fill="auto"/>
            <w:noWrap/>
            <w:vAlign w:val="bottom"/>
            <w:hideMark/>
          </w:tcPr>
          <w:p w:rsidR="005C0D39" w:rsidRPr="00FC6D03" w:rsidRDefault="005C0D39" w:rsidP="0030417A">
            <w:pPr>
              <w:spacing w:before="0"/>
              <w:jc w:val="center"/>
              <w:rPr>
                <w:rFonts w:ascii="Calibri" w:hAnsi="Calibri"/>
                <w:color w:val="000000"/>
                <w:sz w:val="22"/>
                <w:szCs w:val="22"/>
                <w:lang w:val="en-US" w:eastAsia="en-US"/>
              </w:rPr>
            </w:pPr>
            <w:r w:rsidRPr="00FC6D03">
              <w:rPr>
                <w:rFonts w:ascii="Calibri" w:hAnsi="Calibri"/>
                <w:color w:val="000000"/>
                <w:sz w:val="22"/>
                <w:szCs w:val="22"/>
                <w:lang w:val="en-US" w:eastAsia="en-US"/>
              </w:rPr>
              <w:t>0.428</w:t>
            </w:r>
          </w:p>
        </w:tc>
        <w:tc>
          <w:tcPr>
            <w:tcW w:w="1519" w:type="dxa"/>
            <w:tcBorders>
              <w:top w:val="nil"/>
              <w:left w:val="nil"/>
              <w:bottom w:val="nil"/>
              <w:right w:val="nil"/>
            </w:tcBorders>
            <w:shd w:val="clear" w:color="auto" w:fill="auto"/>
            <w:noWrap/>
            <w:vAlign w:val="bottom"/>
            <w:hideMark/>
          </w:tcPr>
          <w:p w:rsidR="005C0D39" w:rsidRPr="00FC6D03" w:rsidRDefault="005C0D39" w:rsidP="0030417A">
            <w:pPr>
              <w:spacing w:before="0"/>
              <w:jc w:val="center"/>
              <w:rPr>
                <w:rFonts w:ascii="Calibri" w:hAnsi="Calibri"/>
                <w:color w:val="000000"/>
                <w:sz w:val="22"/>
                <w:szCs w:val="22"/>
                <w:lang w:val="en-US" w:eastAsia="en-US"/>
              </w:rPr>
            </w:pPr>
            <w:r w:rsidRPr="00FC6D03">
              <w:rPr>
                <w:rFonts w:ascii="Calibri" w:hAnsi="Calibri"/>
                <w:color w:val="000000"/>
                <w:sz w:val="22"/>
                <w:szCs w:val="22"/>
                <w:lang w:val="en-US" w:eastAsia="en-US"/>
              </w:rPr>
              <w:t>0.413</w:t>
            </w:r>
          </w:p>
        </w:tc>
        <w:tc>
          <w:tcPr>
            <w:tcW w:w="1519" w:type="dxa"/>
            <w:tcBorders>
              <w:top w:val="nil"/>
              <w:left w:val="nil"/>
              <w:bottom w:val="nil"/>
              <w:right w:val="nil"/>
            </w:tcBorders>
            <w:shd w:val="clear" w:color="auto" w:fill="auto"/>
            <w:noWrap/>
            <w:vAlign w:val="bottom"/>
            <w:hideMark/>
          </w:tcPr>
          <w:p w:rsidR="005C0D39" w:rsidRPr="00FC6D03" w:rsidRDefault="005C0D39" w:rsidP="0030417A">
            <w:pPr>
              <w:spacing w:before="0"/>
              <w:jc w:val="center"/>
              <w:rPr>
                <w:rFonts w:ascii="Calibri" w:hAnsi="Calibri"/>
                <w:color w:val="000000"/>
                <w:sz w:val="22"/>
                <w:szCs w:val="22"/>
                <w:lang w:val="en-US" w:eastAsia="en-US"/>
              </w:rPr>
            </w:pPr>
            <w:r w:rsidRPr="00FC6D03">
              <w:rPr>
                <w:rFonts w:ascii="Calibri" w:hAnsi="Calibri"/>
                <w:color w:val="000000"/>
                <w:sz w:val="22"/>
                <w:szCs w:val="22"/>
                <w:lang w:val="en-US" w:eastAsia="en-US"/>
              </w:rPr>
              <w:t>0.841</w:t>
            </w:r>
          </w:p>
        </w:tc>
        <w:tc>
          <w:tcPr>
            <w:tcW w:w="1519" w:type="dxa"/>
            <w:tcBorders>
              <w:top w:val="nil"/>
              <w:left w:val="nil"/>
              <w:bottom w:val="nil"/>
              <w:right w:val="nil"/>
            </w:tcBorders>
            <w:shd w:val="clear" w:color="auto" w:fill="auto"/>
            <w:noWrap/>
            <w:vAlign w:val="bottom"/>
            <w:hideMark/>
          </w:tcPr>
          <w:p w:rsidR="005C0D39" w:rsidRPr="00FC6D03" w:rsidRDefault="005C0D39" w:rsidP="0030417A">
            <w:pPr>
              <w:spacing w:before="0"/>
              <w:jc w:val="center"/>
              <w:rPr>
                <w:rFonts w:ascii="Calibri" w:hAnsi="Calibri"/>
                <w:color w:val="000000"/>
                <w:sz w:val="22"/>
                <w:szCs w:val="22"/>
                <w:lang w:val="en-US" w:eastAsia="en-US"/>
              </w:rPr>
            </w:pPr>
            <w:r w:rsidRPr="00FC6D03">
              <w:rPr>
                <w:rFonts w:ascii="Calibri" w:hAnsi="Calibri"/>
                <w:color w:val="000000"/>
                <w:sz w:val="22"/>
                <w:szCs w:val="22"/>
                <w:lang w:val="en-US" w:eastAsia="en-US"/>
              </w:rPr>
              <w:t>0.823</w:t>
            </w:r>
          </w:p>
        </w:tc>
      </w:tr>
      <w:tr w:rsidR="005C0D39" w:rsidRPr="00FC6D03" w:rsidTr="0030417A">
        <w:trPr>
          <w:trHeight w:val="293"/>
        </w:trPr>
        <w:tc>
          <w:tcPr>
            <w:tcW w:w="2416" w:type="dxa"/>
            <w:tcBorders>
              <w:top w:val="nil"/>
              <w:left w:val="nil"/>
              <w:bottom w:val="nil"/>
              <w:right w:val="nil"/>
            </w:tcBorders>
            <w:shd w:val="clear" w:color="auto" w:fill="auto"/>
            <w:noWrap/>
            <w:vAlign w:val="bottom"/>
            <w:hideMark/>
          </w:tcPr>
          <w:p w:rsidR="005C0D39" w:rsidRPr="00FC6D03" w:rsidRDefault="005C0D39" w:rsidP="0030417A">
            <w:pPr>
              <w:spacing w:before="0"/>
              <w:jc w:val="left"/>
              <w:rPr>
                <w:rFonts w:ascii="Calibri" w:hAnsi="Calibri"/>
                <w:b/>
                <w:bCs/>
                <w:color w:val="000000"/>
                <w:sz w:val="22"/>
                <w:szCs w:val="22"/>
                <w:lang w:val="en-US" w:eastAsia="en-US"/>
              </w:rPr>
            </w:pPr>
            <w:r w:rsidRPr="00FC6D03">
              <w:rPr>
                <w:rFonts w:ascii="Calibri" w:hAnsi="Calibri"/>
                <w:b/>
                <w:bCs/>
                <w:color w:val="000000"/>
                <w:sz w:val="22"/>
                <w:szCs w:val="22"/>
                <w:lang w:val="en-US" w:eastAsia="en-US"/>
              </w:rPr>
              <w:t xml:space="preserve">  CV</w:t>
            </w:r>
          </w:p>
        </w:tc>
        <w:tc>
          <w:tcPr>
            <w:tcW w:w="1519" w:type="dxa"/>
            <w:tcBorders>
              <w:top w:val="nil"/>
              <w:left w:val="nil"/>
              <w:bottom w:val="nil"/>
              <w:right w:val="nil"/>
            </w:tcBorders>
            <w:shd w:val="clear" w:color="auto" w:fill="auto"/>
            <w:noWrap/>
            <w:vAlign w:val="bottom"/>
            <w:hideMark/>
          </w:tcPr>
          <w:p w:rsidR="005C0D39" w:rsidRPr="00FC6D03" w:rsidRDefault="005C0D39" w:rsidP="0030417A">
            <w:pPr>
              <w:spacing w:before="0"/>
              <w:jc w:val="center"/>
              <w:rPr>
                <w:rFonts w:ascii="Calibri" w:hAnsi="Calibri"/>
                <w:color w:val="000000"/>
                <w:sz w:val="22"/>
                <w:szCs w:val="22"/>
                <w:lang w:val="en-US" w:eastAsia="en-US"/>
              </w:rPr>
            </w:pPr>
            <w:r w:rsidRPr="00FC6D03">
              <w:rPr>
                <w:rFonts w:ascii="Calibri" w:hAnsi="Calibri"/>
                <w:color w:val="000000"/>
                <w:sz w:val="22"/>
                <w:szCs w:val="22"/>
                <w:lang w:val="en-US" w:eastAsia="en-US"/>
              </w:rPr>
              <w:t>0.084</w:t>
            </w:r>
          </w:p>
        </w:tc>
        <w:tc>
          <w:tcPr>
            <w:tcW w:w="1519" w:type="dxa"/>
            <w:tcBorders>
              <w:top w:val="nil"/>
              <w:left w:val="nil"/>
              <w:bottom w:val="nil"/>
              <w:right w:val="nil"/>
            </w:tcBorders>
            <w:shd w:val="clear" w:color="auto" w:fill="auto"/>
            <w:noWrap/>
            <w:vAlign w:val="bottom"/>
            <w:hideMark/>
          </w:tcPr>
          <w:p w:rsidR="005C0D39" w:rsidRPr="00FC6D03" w:rsidRDefault="005C0D39" w:rsidP="0030417A">
            <w:pPr>
              <w:spacing w:before="0"/>
              <w:jc w:val="center"/>
              <w:rPr>
                <w:rFonts w:ascii="Calibri" w:hAnsi="Calibri"/>
                <w:color w:val="000000"/>
                <w:sz w:val="22"/>
                <w:szCs w:val="22"/>
                <w:lang w:val="en-US" w:eastAsia="en-US"/>
              </w:rPr>
            </w:pPr>
            <w:r w:rsidRPr="00FC6D03">
              <w:rPr>
                <w:rFonts w:ascii="Calibri" w:hAnsi="Calibri"/>
                <w:color w:val="000000"/>
                <w:sz w:val="22"/>
                <w:szCs w:val="22"/>
                <w:lang w:val="en-US" w:eastAsia="en-US"/>
              </w:rPr>
              <w:t>0.069</w:t>
            </w:r>
          </w:p>
        </w:tc>
        <w:tc>
          <w:tcPr>
            <w:tcW w:w="1519" w:type="dxa"/>
            <w:tcBorders>
              <w:top w:val="nil"/>
              <w:left w:val="nil"/>
              <w:bottom w:val="nil"/>
              <w:right w:val="nil"/>
            </w:tcBorders>
            <w:shd w:val="clear" w:color="auto" w:fill="auto"/>
            <w:noWrap/>
            <w:vAlign w:val="bottom"/>
            <w:hideMark/>
          </w:tcPr>
          <w:p w:rsidR="005C0D39" w:rsidRPr="00FC6D03" w:rsidRDefault="005C0D39" w:rsidP="0030417A">
            <w:pPr>
              <w:spacing w:before="0"/>
              <w:jc w:val="center"/>
              <w:rPr>
                <w:rFonts w:ascii="Calibri" w:hAnsi="Calibri"/>
                <w:color w:val="000000"/>
                <w:sz w:val="22"/>
                <w:szCs w:val="22"/>
                <w:lang w:val="en-US" w:eastAsia="en-US"/>
              </w:rPr>
            </w:pPr>
            <w:r w:rsidRPr="00FC6D03">
              <w:rPr>
                <w:rFonts w:ascii="Calibri" w:hAnsi="Calibri"/>
                <w:color w:val="000000"/>
                <w:sz w:val="22"/>
                <w:szCs w:val="22"/>
                <w:lang w:val="en-US" w:eastAsia="en-US"/>
              </w:rPr>
              <w:t>0.074</w:t>
            </w:r>
          </w:p>
        </w:tc>
        <w:tc>
          <w:tcPr>
            <w:tcW w:w="1519" w:type="dxa"/>
            <w:tcBorders>
              <w:top w:val="nil"/>
              <w:left w:val="nil"/>
              <w:bottom w:val="nil"/>
              <w:right w:val="nil"/>
            </w:tcBorders>
            <w:shd w:val="clear" w:color="auto" w:fill="auto"/>
            <w:noWrap/>
            <w:vAlign w:val="bottom"/>
            <w:hideMark/>
          </w:tcPr>
          <w:p w:rsidR="005C0D39" w:rsidRPr="00FC6D03" w:rsidRDefault="005C0D39" w:rsidP="0030417A">
            <w:pPr>
              <w:spacing w:before="0"/>
              <w:jc w:val="center"/>
              <w:rPr>
                <w:rFonts w:ascii="Calibri" w:hAnsi="Calibri"/>
                <w:color w:val="000000"/>
                <w:sz w:val="22"/>
                <w:szCs w:val="22"/>
                <w:lang w:val="en-US" w:eastAsia="en-US"/>
              </w:rPr>
            </w:pPr>
            <w:r w:rsidRPr="00FC6D03">
              <w:rPr>
                <w:rFonts w:ascii="Calibri" w:hAnsi="Calibri"/>
                <w:color w:val="000000"/>
                <w:sz w:val="22"/>
                <w:szCs w:val="22"/>
                <w:lang w:val="en-US" w:eastAsia="en-US"/>
              </w:rPr>
              <w:t>0.059</w:t>
            </w:r>
          </w:p>
        </w:tc>
      </w:tr>
      <w:tr w:rsidR="005C0D39" w:rsidRPr="00FC6D03" w:rsidTr="0030417A">
        <w:trPr>
          <w:trHeight w:val="293"/>
        </w:trPr>
        <w:tc>
          <w:tcPr>
            <w:tcW w:w="2416" w:type="dxa"/>
            <w:tcBorders>
              <w:top w:val="nil"/>
              <w:left w:val="nil"/>
              <w:bottom w:val="nil"/>
              <w:right w:val="nil"/>
            </w:tcBorders>
            <w:shd w:val="clear" w:color="auto" w:fill="auto"/>
            <w:noWrap/>
            <w:vAlign w:val="bottom"/>
            <w:hideMark/>
          </w:tcPr>
          <w:p w:rsidR="005C0D39" w:rsidRPr="00FC6D03" w:rsidRDefault="005C0D39" w:rsidP="0030417A">
            <w:pPr>
              <w:spacing w:before="0"/>
              <w:jc w:val="left"/>
              <w:rPr>
                <w:rFonts w:ascii="Calibri" w:hAnsi="Calibri"/>
                <w:b/>
                <w:bCs/>
                <w:color w:val="000000"/>
                <w:sz w:val="22"/>
                <w:szCs w:val="22"/>
                <w:lang w:val="en-US" w:eastAsia="en-US"/>
              </w:rPr>
            </w:pPr>
            <w:r w:rsidRPr="00FC6D03">
              <w:rPr>
                <w:rFonts w:ascii="Calibri" w:hAnsi="Calibri"/>
                <w:b/>
                <w:bCs/>
                <w:color w:val="000000"/>
                <w:sz w:val="22"/>
                <w:szCs w:val="22"/>
                <w:lang w:val="en-US" w:eastAsia="en-US"/>
              </w:rPr>
              <w:t xml:space="preserve">  CORR GDP</w:t>
            </w:r>
          </w:p>
        </w:tc>
        <w:tc>
          <w:tcPr>
            <w:tcW w:w="1519" w:type="dxa"/>
            <w:tcBorders>
              <w:top w:val="nil"/>
              <w:left w:val="nil"/>
              <w:bottom w:val="nil"/>
              <w:right w:val="nil"/>
            </w:tcBorders>
            <w:shd w:val="clear" w:color="auto" w:fill="auto"/>
            <w:noWrap/>
            <w:vAlign w:val="bottom"/>
            <w:hideMark/>
          </w:tcPr>
          <w:p w:rsidR="005C0D39" w:rsidRPr="00FC6D03" w:rsidRDefault="005C0D39" w:rsidP="0030417A">
            <w:pPr>
              <w:spacing w:before="0"/>
              <w:jc w:val="center"/>
              <w:rPr>
                <w:rFonts w:ascii="Calibri" w:hAnsi="Calibri"/>
                <w:color w:val="000000"/>
                <w:sz w:val="22"/>
                <w:szCs w:val="22"/>
                <w:lang w:val="en-US" w:eastAsia="en-US"/>
              </w:rPr>
            </w:pPr>
            <w:r w:rsidRPr="00FC6D03">
              <w:rPr>
                <w:rFonts w:ascii="Calibri" w:hAnsi="Calibri"/>
                <w:color w:val="000000"/>
                <w:sz w:val="22"/>
                <w:szCs w:val="22"/>
                <w:lang w:val="en-US" w:eastAsia="en-US"/>
              </w:rPr>
              <w:t>0.555</w:t>
            </w:r>
          </w:p>
        </w:tc>
        <w:tc>
          <w:tcPr>
            <w:tcW w:w="1519" w:type="dxa"/>
            <w:tcBorders>
              <w:top w:val="nil"/>
              <w:left w:val="nil"/>
              <w:bottom w:val="nil"/>
              <w:right w:val="nil"/>
            </w:tcBorders>
            <w:shd w:val="clear" w:color="auto" w:fill="auto"/>
            <w:noWrap/>
            <w:vAlign w:val="bottom"/>
            <w:hideMark/>
          </w:tcPr>
          <w:p w:rsidR="005C0D39" w:rsidRPr="00FC6D03" w:rsidRDefault="005C0D39" w:rsidP="0030417A">
            <w:pPr>
              <w:spacing w:before="0"/>
              <w:jc w:val="center"/>
              <w:rPr>
                <w:rFonts w:ascii="Calibri" w:hAnsi="Calibri"/>
                <w:color w:val="000000"/>
                <w:sz w:val="22"/>
                <w:szCs w:val="22"/>
                <w:lang w:val="en-US" w:eastAsia="en-US"/>
              </w:rPr>
            </w:pPr>
            <w:r w:rsidRPr="00FC6D03">
              <w:rPr>
                <w:rFonts w:ascii="Calibri" w:hAnsi="Calibri"/>
                <w:color w:val="000000"/>
                <w:sz w:val="22"/>
                <w:szCs w:val="22"/>
                <w:lang w:val="en-US" w:eastAsia="en-US"/>
              </w:rPr>
              <w:t>0.405</w:t>
            </w:r>
          </w:p>
        </w:tc>
        <w:tc>
          <w:tcPr>
            <w:tcW w:w="1519" w:type="dxa"/>
            <w:tcBorders>
              <w:top w:val="nil"/>
              <w:left w:val="nil"/>
              <w:bottom w:val="nil"/>
              <w:right w:val="nil"/>
            </w:tcBorders>
            <w:shd w:val="clear" w:color="auto" w:fill="auto"/>
            <w:noWrap/>
            <w:vAlign w:val="bottom"/>
            <w:hideMark/>
          </w:tcPr>
          <w:p w:rsidR="005C0D39" w:rsidRPr="00FC6D03" w:rsidRDefault="005C0D39" w:rsidP="0030417A">
            <w:pPr>
              <w:spacing w:before="0"/>
              <w:jc w:val="center"/>
              <w:rPr>
                <w:rFonts w:ascii="Calibri" w:hAnsi="Calibri"/>
                <w:color w:val="000000"/>
                <w:sz w:val="22"/>
                <w:szCs w:val="22"/>
                <w:lang w:val="en-US" w:eastAsia="en-US"/>
              </w:rPr>
            </w:pPr>
            <w:r w:rsidRPr="00FC6D03">
              <w:rPr>
                <w:rFonts w:ascii="Calibri" w:hAnsi="Calibri"/>
                <w:color w:val="000000"/>
                <w:sz w:val="22"/>
                <w:szCs w:val="22"/>
                <w:lang w:val="en-US" w:eastAsia="en-US"/>
              </w:rPr>
              <w:t>0.505</w:t>
            </w:r>
          </w:p>
        </w:tc>
        <w:tc>
          <w:tcPr>
            <w:tcW w:w="1519" w:type="dxa"/>
            <w:tcBorders>
              <w:top w:val="nil"/>
              <w:left w:val="nil"/>
              <w:bottom w:val="nil"/>
              <w:right w:val="nil"/>
            </w:tcBorders>
            <w:shd w:val="clear" w:color="auto" w:fill="auto"/>
            <w:noWrap/>
            <w:vAlign w:val="bottom"/>
            <w:hideMark/>
          </w:tcPr>
          <w:p w:rsidR="005C0D39" w:rsidRPr="00FC6D03" w:rsidRDefault="005C0D39" w:rsidP="0030417A">
            <w:pPr>
              <w:spacing w:before="0"/>
              <w:jc w:val="center"/>
              <w:rPr>
                <w:rFonts w:ascii="Calibri" w:hAnsi="Calibri"/>
                <w:color w:val="000000"/>
                <w:sz w:val="22"/>
                <w:szCs w:val="22"/>
                <w:lang w:val="en-US" w:eastAsia="en-US"/>
              </w:rPr>
            </w:pPr>
            <w:r w:rsidRPr="00FC6D03">
              <w:rPr>
                <w:rFonts w:ascii="Calibri" w:hAnsi="Calibri"/>
                <w:color w:val="000000"/>
                <w:sz w:val="22"/>
                <w:szCs w:val="22"/>
                <w:lang w:val="en-US" w:eastAsia="en-US"/>
              </w:rPr>
              <w:t>0.429</w:t>
            </w:r>
          </w:p>
        </w:tc>
      </w:tr>
      <w:tr w:rsidR="005C0D39" w:rsidRPr="00FC6D03" w:rsidTr="0030417A">
        <w:trPr>
          <w:trHeight w:val="293"/>
        </w:trPr>
        <w:tc>
          <w:tcPr>
            <w:tcW w:w="2416" w:type="dxa"/>
            <w:tcBorders>
              <w:top w:val="nil"/>
              <w:left w:val="nil"/>
              <w:bottom w:val="nil"/>
              <w:right w:val="nil"/>
            </w:tcBorders>
            <w:shd w:val="clear" w:color="auto" w:fill="auto"/>
            <w:noWrap/>
            <w:vAlign w:val="bottom"/>
            <w:hideMark/>
          </w:tcPr>
          <w:p w:rsidR="005C0D39" w:rsidRPr="00FC6D03" w:rsidRDefault="005C0D39" w:rsidP="0030417A">
            <w:pPr>
              <w:spacing w:before="0"/>
              <w:jc w:val="left"/>
              <w:rPr>
                <w:rFonts w:ascii="Calibri" w:hAnsi="Calibri"/>
                <w:b/>
                <w:bCs/>
                <w:color w:val="000000"/>
                <w:sz w:val="22"/>
                <w:szCs w:val="22"/>
                <w:lang w:val="en-US" w:eastAsia="en-US"/>
              </w:rPr>
            </w:pPr>
          </w:p>
        </w:tc>
        <w:tc>
          <w:tcPr>
            <w:tcW w:w="1519" w:type="dxa"/>
            <w:tcBorders>
              <w:top w:val="nil"/>
              <w:left w:val="nil"/>
              <w:bottom w:val="nil"/>
              <w:right w:val="nil"/>
            </w:tcBorders>
            <w:shd w:val="clear" w:color="auto" w:fill="auto"/>
            <w:noWrap/>
            <w:vAlign w:val="bottom"/>
            <w:hideMark/>
          </w:tcPr>
          <w:p w:rsidR="005C0D39" w:rsidRPr="00FC6D03" w:rsidRDefault="005C0D39" w:rsidP="0030417A">
            <w:pPr>
              <w:spacing w:before="0"/>
              <w:jc w:val="center"/>
              <w:rPr>
                <w:rFonts w:ascii="Calibri" w:hAnsi="Calibri"/>
                <w:color w:val="000000"/>
                <w:sz w:val="22"/>
                <w:szCs w:val="22"/>
                <w:lang w:val="en-US" w:eastAsia="en-US"/>
              </w:rPr>
            </w:pPr>
          </w:p>
        </w:tc>
        <w:tc>
          <w:tcPr>
            <w:tcW w:w="1519" w:type="dxa"/>
            <w:tcBorders>
              <w:top w:val="nil"/>
              <w:left w:val="nil"/>
              <w:bottom w:val="nil"/>
              <w:right w:val="nil"/>
            </w:tcBorders>
            <w:shd w:val="clear" w:color="auto" w:fill="auto"/>
            <w:noWrap/>
            <w:vAlign w:val="bottom"/>
            <w:hideMark/>
          </w:tcPr>
          <w:p w:rsidR="005C0D39" w:rsidRPr="00FC6D03" w:rsidRDefault="005C0D39" w:rsidP="0030417A">
            <w:pPr>
              <w:spacing w:before="0"/>
              <w:jc w:val="center"/>
              <w:rPr>
                <w:rFonts w:ascii="Calibri" w:hAnsi="Calibri"/>
                <w:color w:val="000000"/>
                <w:sz w:val="22"/>
                <w:szCs w:val="22"/>
                <w:lang w:val="en-US" w:eastAsia="en-US"/>
              </w:rPr>
            </w:pPr>
          </w:p>
        </w:tc>
        <w:tc>
          <w:tcPr>
            <w:tcW w:w="1519" w:type="dxa"/>
            <w:tcBorders>
              <w:top w:val="nil"/>
              <w:left w:val="nil"/>
              <w:bottom w:val="nil"/>
              <w:right w:val="nil"/>
            </w:tcBorders>
            <w:shd w:val="clear" w:color="auto" w:fill="auto"/>
            <w:noWrap/>
            <w:vAlign w:val="bottom"/>
            <w:hideMark/>
          </w:tcPr>
          <w:p w:rsidR="005C0D39" w:rsidRPr="00FC6D03" w:rsidRDefault="005C0D39" w:rsidP="0030417A">
            <w:pPr>
              <w:spacing w:before="0"/>
              <w:jc w:val="center"/>
              <w:rPr>
                <w:rFonts w:ascii="Calibri" w:hAnsi="Calibri"/>
                <w:color w:val="000000"/>
                <w:sz w:val="22"/>
                <w:szCs w:val="22"/>
                <w:lang w:val="en-US" w:eastAsia="en-US"/>
              </w:rPr>
            </w:pPr>
          </w:p>
        </w:tc>
        <w:tc>
          <w:tcPr>
            <w:tcW w:w="1519" w:type="dxa"/>
            <w:tcBorders>
              <w:top w:val="nil"/>
              <w:left w:val="nil"/>
              <w:bottom w:val="nil"/>
              <w:right w:val="nil"/>
            </w:tcBorders>
            <w:shd w:val="clear" w:color="auto" w:fill="auto"/>
            <w:noWrap/>
            <w:vAlign w:val="bottom"/>
            <w:hideMark/>
          </w:tcPr>
          <w:p w:rsidR="005C0D39" w:rsidRPr="00FC6D03" w:rsidRDefault="005C0D39" w:rsidP="0030417A">
            <w:pPr>
              <w:spacing w:before="0"/>
              <w:jc w:val="center"/>
              <w:rPr>
                <w:rFonts w:ascii="Calibri" w:hAnsi="Calibri"/>
                <w:color w:val="000000"/>
                <w:sz w:val="22"/>
                <w:szCs w:val="22"/>
                <w:lang w:val="en-US" w:eastAsia="en-US"/>
              </w:rPr>
            </w:pPr>
          </w:p>
        </w:tc>
      </w:tr>
      <w:tr w:rsidR="005C0D39" w:rsidRPr="00FC6D03" w:rsidTr="0030417A">
        <w:trPr>
          <w:trHeight w:val="293"/>
        </w:trPr>
        <w:tc>
          <w:tcPr>
            <w:tcW w:w="2416" w:type="dxa"/>
            <w:tcBorders>
              <w:top w:val="nil"/>
              <w:left w:val="nil"/>
              <w:bottom w:val="nil"/>
              <w:right w:val="nil"/>
            </w:tcBorders>
            <w:shd w:val="clear" w:color="auto" w:fill="auto"/>
            <w:noWrap/>
            <w:vAlign w:val="bottom"/>
            <w:hideMark/>
          </w:tcPr>
          <w:p w:rsidR="005C0D39" w:rsidRPr="00FC6D03" w:rsidRDefault="005C0D39" w:rsidP="0030417A">
            <w:pPr>
              <w:spacing w:before="0"/>
              <w:jc w:val="left"/>
              <w:rPr>
                <w:rFonts w:ascii="Calibri" w:hAnsi="Calibri"/>
                <w:b/>
                <w:bCs/>
                <w:color w:val="000000"/>
                <w:sz w:val="22"/>
                <w:szCs w:val="22"/>
                <w:lang w:val="en-US" w:eastAsia="en-US"/>
              </w:rPr>
            </w:pPr>
            <w:r w:rsidRPr="00FC6D03">
              <w:rPr>
                <w:rFonts w:ascii="Calibri" w:hAnsi="Calibri"/>
                <w:b/>
                <w:bCs/>
                <w:color w:val="000000"/>
                <w:sz w:val="22"/>
                <w:szCs w:val="22"/>
                <w:lang w:val="en-US" w:eastAsia="en-US"/>
              </w:rPr>
              <w:t>Ratio Youth/Adults</w:t>
            </w:r>
          </w:p>
        </w:tc>
        <w:tc>
          <w:tcPr>
            <w:tcW w:w="1519" w:type="dxa"/>
            <w:tcBorders>
              <w:top w:val="nil"/>
              <w:left w:val="nil"/>
              <w:bottom w:val="nil"/>
              <w:right w:val="nil"/>
            </w:tcBorders>
            <w:shd w:val="clear" w:color="auto" w:fill="auto"/>
            <w:noWrap/>
            <w:vAlign w:val="bottom"/>
            <w:hideMark/>
          </w:tcPr>
          <w:p w:rsidR="005C0D39" w:rsidRPr="00FC6D03" w:rsidRDefault="005C0D39" w:rsidP="0030417A">
            <w:pPr>
              <w:spacing w:before="0"/>
              <w:jc w:val="center"/>
              <w:rPr>
                <w:rFonts w:ascii="Calibri" w:hAnsi="Calibri"/>
                <w:color w:val="000000"/>
                <w:sz w:val="22"/>
                <w:szCs w:val="22"/>
                <w:lang w:val="en-US" w:eastAsia="en-US"/>
              </w:rPr>
            </w:pPr>
          </w:p>
        </w:tc>
        <w:tc>
          <w:tcPr>
            <w:tcW w:w="1519" w:type="dxa"/>
            <w:tcBorders>
              <w:top w:val="nil"/>
              <w:left w:val="nil"/>
              <w:bottom w:val="nil"/>
              <w:right w:val="nil"/>
            </w:tcBorders>
            <w:shd w:val="clear" w:color="auto" w:fill="auto"/>
            <w:noWrap/>
            <w:vAlign w:val="bottom"/>
            <w:hideMark/>
          </w:tcPr>
          <w:p w:rsidR="005C0D39" w:rsidRPr="00FC6D03" w:rsidRDefault="005C0D39" w:rsidP="0030417A">
            <w:pPr>
              <w:spacing w:before="0"/>
              <w:jc w:val="center"/>
              <w:rPr>
                <w:rFonts w:ascii="Calibri" w:hAnsi="Calibri"/>
                <w:color w:val="000000"/>
                <w:sz w:val="22"/>
                <w:szCs w:val="22"/>
                <w:lang w:val="en-US" w:eastAsia="en-US"/>
              </w:rPr>
            </w:pPr>
          </w:p>
        </w:tc>
        <w:tc>
          <w:tcPr>
            <w:tcW w:w="1519" w:type="dxa"/>
            <w:tcBorders>
              <w:top w:val="nil"/>
              <w:left w:val="nil"/>
              <w:bottom w:val="nil"/>
              <w:right w:val="nil"/>
            </w:tcBorders>
            <w:shd w:val="clear" w:color="auto" w:fill="auto"/>
            <w:noWrap/>
            <w:vAlign w:val="bottom"/>
            <w:hideMark/>
          </w:tcPr>
          <w:p w:rsidR="005C0D39" w:rsidRPr="00FC6D03" w:rsidRDefault="005C0D39" w:rsidP="0030417A">
            <w:pPr>
              <w:spacing w:before="0"/>
              <w:jc w:val="center"/>
              <w:rPr>
                <w:rFonts w:ascii="Calibri" w:hAnsi="Calibri"/>
                <w:color w:val="000000"/>
                <w:sz w:val="22"/>
                <w:szCs w:val="22"/>
                <w:lang w:val="en-US" w:eastAsia="en-US"/>
              </w:rPr>
            </w:pPr>
          </w:p>
        </w:tc>
        <w:tc>
          <w:tcPr>
            <w:tcW w:w="1519" w:type="dxa"/>
            <w:tcBorders>
              <w:top w:val="nil"/>
              <w:left w:val="nil"/>
              <w:bottom w:val="nil"/>
              <w:right w:val="nil"/>
            </w:tcBorders>
            <w:shd w:val="clear" w:color="auto" w:fill="auto"/>
            <w:noWrap/>
            <w:vAlign w:val="bottom"/>
            <w:hideMark/>
          </w:tcPr>
          <w:p w:rsidR="005C0D39" w:rsidRPr="00FC6D03" w:rsidRDefault="005C0D39" w:rsidP="0030417A">
            <w:pPr>
              <w:spacing w:before="0"/>
              <w:jc w:val="left"/>
              <w:rPr>
                <w:rFonts w:ascii="Calibri" w:hAnsi="Calibri"/>
                <w:color w:val="000000"/>
                <w:sz w:val="22"/>
                <w:szCs w:val="22"/>
                <w:lang w:val="en-US" w:eastAsia="en-US"/>
              </w:rPr>
            </w:pPr>
          </w:p>
        </w:tc>
      </w:tr>
      <w:tr w:rsidR="005C0D39" w:rsidRPr="00FC6D03" w:rsidTr="0030417A">
        <w:trPr>
          <w:trHeight w:val="293"/>
        </w:trPr>
        <w:tc>
          <w:tcPr>
            <w:tcW w:w="2416" w:type="dxa"/>
            <w:tcBorders>
              <w:top w:val="nil"/>
              <w:left w:val="nil"/>
              <w:bottom w:val="nil"/>
              <w:right w:val="nil"/>
            </w:tcBorders>
            <w:shd w:val="clear" w:color="auto" w:fill="auto"/>
            <w:noWrap/>
            <w:vAlign w:val="bottom"/>
            <w:hideMark/>
          </w:tcPr>
          <w:p w:rsidR="005C0D39" w:rsidRPr="00FC6D03" w:rsidRDefault="005C0D39" w:rsidP="0030417A">
            <w:pPr>
              <w:spacing w:before="0"/>
              <w:jc w:val="left"/>
              <w:rPr>
                <w:rFonts w:ascii="Calibri" w:hAnsi="Calibri"/>
                <w:b/>
                <w:bCs/>
                <w:color w:val="000000"/>
                <w:sz w:val="22"/>
                <w:szCs w:val="22"/>
                <w:lang w:val="en-US" w:eastAsia="en-US"/>
              </w:rPr>
            </w:pPr>
            <w:r w:rsidRPr="00FC6D03">
              <w:rPr>
                <w:rFonts w:ascii="Calibri" w:hAnsi="Calibri"/>
                <w:b/>
                <w:bCs/>
                <w:color w:val="000000"/>
                <w:sz w:val="22"/>
                <w:szCs w:val="22"/>
                <w:lang w:val="en-US" w:eastAsia="en-US"/>
              </w:rPr>
              <w:t xml:space="preserve">  Average</w:t>
            </w:r>
          </w:p>
        </w:tc>
        <w:tc>
          <w:tcPr>
            <w:tcW w:w="1519" w:type="dxa"/>
            <w:tcBorders>
              <w:top w:val="nil"/>
              <w:left w:val="nil"/>
              <w:bottom w:val="nil"/>
              <w:right w:val="nil"/>
            </w:tcBorders>
            <w:shd w:val="clear" w:color="auto" w:fill="auto"/>
            <w:noWrap/>
            <w:vAlign w:val="bottom"/>
            <w:hideMark/>
          </w:tcPr>
          <w:p w:rsidR="005C0D39" w:rsidRPr="00FC6D03" w:rsidRDefault="005C0D39" w:rsidP="0030417A">
            <w:pPr>
              <w:spacing w:before="0"/>
              <w:jc w:val="center"/>
              <w:rPr>
                <w:rFonts w:ascii="Calibri" w:hAnsi="Calibri"/>
                <w:color w:val="000000"/>
                <w:sz w:val="22"/>
                <w:szCs w:val="22"/>
                <w:lang w:val="en-US" w:eastAsia="en-US"/>
              </w:rPr>
            </w:pPr>
            <w:r w:rsidRPr="00FC6D03">
              <w:rPr>
                <w:rFonts w:ascii="Calibri" w:hAnsi="Calibri"/>
                <w:color w:val="000000"/>
                <w:sz w:val="22"/>
                <w:szCs w:val="22"/>
                <w:lang w:val="en-US" w:eastAsia="en-US"/>
              </w:rPr>
              <w:t>2.2</w:t>
            </w:r>
          </w:p>
        </w:tc>
        <w:tc>
          <w:tcPr>
            <w:tcW w:w="1519" w:type="dxa"/>
            <w:tcBorders>
              <w:top w:val="nil"/>
              <w:left w:val="nil"/>
              <w:bottom w:val="nil"/>
              <w:right w:val="nil"/>
            </w:tcBorders>
            <w:shd w:val="clear" w:color="auto" w:fill="auto"/>
            <w:noWrap/>
            <w:vAlign w:val="bottom"/>
            <w:hideMark/>
          </w:tcPr>
          <w:p w:rsidR="005C0D39" w:rsidRPr="00FC6D03" w:rsidRDefault="005C0D39" w:rsidP="0030417A">
            <w:pPr>
              <w:spacing w:before="0"/>
              <w:jc w:val="center"/>
              <w:rPr>
                <w:rFonts w:ascii="Calibri" w:hAnsi="Calibri"/>
                <w:color w:val="000000"/>
                <w:sz w:val="22"/>
                <w:szCs w:val="22"/>
                <w:lang w:val="en-US" w:eastAsia="en-US"/>
              </w:rPr>
            </w:pPr>
            <w:r w:rsidRPr="00FC6D03">
              <w:rPr>
                <w:rFonts w:ascii="Calibri" w:hAnsi="Calibri"/>
                <w:color w:val="000000"/>
                <w:sz w:val="22"/>
                <w:szCs w:val="22"/>
                <w:lang w:val="en-US" w:eastAsia="en-US"/>
              </w:rPr>
              <w:t>1.8</w:t>
            </w:r>
          </w:p>
        </w:tc>
        <w:tc>
          <w:tcPr>
            <w:tcW w:w="1519" w:type="dxa"/>
            <w:tcBorders>
              <w:top w:val="nil"/>
              <w:left w:val="nil"/>
              <w:bottom w:val="nil"/>
              <w:right w:val="nil"/>
            </w:tcBorders>
            <w:shd w:val="clear" w:color="auto" w:fill="auto"/>
            <w:noWrap/>
            <w:vAlign w:val="bottom"/>
            <w:hideMark/>
          </w:tcPr>
          <w:p w:rsidR="005C0D39" w:rsidRPr="00FC6D03" w:rsidRDefault="005C0D39" w:rsidP="0030417A">
            <w:pPr>
              <w:spacing w:before="0"/>
              <w:jc w:val="center"/>
              <w:rPr>
                <w:rFonts w:ascii="Calibri" w:hAnsi="Calibri"/>
                <w:color w:val="000000"/>
                <w:sz w:val="22"/>
                <w:szCs w:val="22"/>
                <w:lang w:val="en-US" w:eastAsia="en-US"/>
              </w:rPr>
            </w:pPr>
            <w:r w:rsidRPr="00FC6D03">
              <w:rPr>
                <w:rFonts w:ascii="Calibri" w:hAnsi="Calibri"/>
                <w:color w:val="000000"/>
                <w:sz w:val="22"/>
                <w:szCs w:val="22"/>
                <w:lang w:val="en-US" w:eastAsia="en-US"/>
              </w:rPr>
              <w:t>2.0</w:t>
            </w:r>
          </w:p>
        </w:tc>
        <w:tc>
          <w:tcPr>
            <w:tcW w:w="1519" w:type="dxa"/>
            <w:tcBorders>
              <w:top w:val="nil"/>
              <w:left w:val="nil"/>
              <w:bottom w:val="nil"/>
              <w:right w:val="nil"/>
            </w:tcBorders>
            <w:shd w:val="clear" w:color="auto" w:fill="auto"/>
            <w:noWrap/>
            <w:vAlign w:val="bottom"/>
            <w:hideMark/>
          </w:tcPr>
          <w:p w:rsidR="005C0D39" w:rsidRPr="00FC6D03" w:rsidRDefault="005C0D39" w:rsidP="0030417A">
            <w:pPr>
              <w:spacing w:before="0"/>
              <w:jc w:val="center"/>
              <w:rPr>
                <w:rFonts w:ascii="Calibri" w:hAnsi="Calibri"/>
                <w:color w:val="000000"/>
                <w:sz w:val="22"/>
                <w:szCs w:val="22"/>
                <w:lang w:val="en-US" w:eastAsia="en-US"/>
              </w:rPr>
            </w:pPr>
            <w:r w:rsidRPr="00FC6D03">
              <w:rPr>
                <w:rFonts w:ascii="Calibri" w:hAnsi="Calibri"/>
                <w:color w:val="000000"/>
                <w:sz w:val="22"/>
                <w:szCs w:val="22"/>
                <w:lang w:val="en-US" w:eastAsia="en-US"/>
              </w:rPr>
              <w:t>1.8</w:t>
            </w:r>
          </w:p>
        </w:tc>
      </w:tr>
      <w:tr w:rsidR="005C0D39" w:rsidRPr="00FC6D03" w:rsidTr="0030417A">
        <w:trPr>
          <w:trHeight w:val="293"/>
        </w:trPr>
        <w:tc>
          <w:tcPr>
            <w:tcW w:w="2416" w:type="dxa"/>
            <w:tcBorders>
              <w:top w:val="nil"/>
              <w:left w:val="nil"/>
              <w:bottom w:val="nil"/>
              <w:right w:val="nil"/>
            </w:tcBorders>
            <w:shd w:val="clear" w:color="auto" w:fill="auto"/>
            <w:noWrap/>
            <w:vAlign w:val="bottom"/>
            <w:hideMark/>
          </w:tcPr>
          <w:p w:rsidR="005C0D39" w:rsidRPr="00FC6D03" w:rsidRDefault="005C0D39" w:rsidP="0030417A">
            <w:pPr>
              <w:spacing w:before="0"/>
              <w:jc w:val="left"/>
              <w:rPr>
                <w:rFonts w:ascii="Calibri" w:hAnsi="Calibri"/>
                <w:b/>
                <w:bCs/>
                <w:color w:val="000000"/>
                <w:sz w:val="22"/>
                <w:szCs w:val="22"/>
                <w:lang w:val="en-US" w:eastAsia="en-US"/>
              </w:rPr>
            </w:pPr>
            <w:r w:rsidRPr="00FC6D03">
              <w:rPr>
                <w:rFonts w:ascii="Calibri" w:hAnsi="Calibri"/>
                <w:b/>
                <w:bCs/>
                <w:color w:val="000000"/>
                <w:sz w:val="22"/>
                <w:szCs w:val="22"/>
                <w:lang w:val="en-US" w:eastAsia="en-US"/>
              </w:rPr>
              <w:t xml:space="preserve">  CV</w:t>
            </w:r>
          </w:p>
        </w:tc>
        <w:tc>
          <w:tcPr>
            <w:tcW w:w="1519" w:type="dxa"/>
            <w:tcBorders>
              <w:top w:val="nil"/>
              <w:left w:val="nil"/>
              <w:bottom w:val="nil"/>
              <w:right w:val="nil"/>
            </w:tcBorders>
            <w:shd w:val="clear" w:color="auto" w:fill="auto"/>
            <w:noWrap/>
            <w:vAlign w:val="bottom"/>
            <w:hideMark/>
          </w:tcPr>
          <w:p w:rsidR="005C0D39" w:rsidRPr="00FC6D03" w:rsidRDefault="005C0D39" w:rsidP="0030417A">
            <w:pPr>
              <w:spacing w:before="0"/>
              <w:jc w:val="center"/>
              <w:rPr>
                <w:rFonts w:ascii="Calibri" w:hAnsi="Calibri"/>
                <w:color w:val="000000"/>
                <w:sz w:val="22"/>
                <w:szCs w:val="22"/>
                <w:lang w:val="en-US" w:eastAsia="en-US"/>
              </w:rPr>
            </w:pPr>
            <w:r w:rsidRPr="00FC6D03">
              <w:rPr>
                <w:rFonts w:ascii="Calibri" w:hAnsi="Calibri"/>
                <w:color w:val="000000"/>
                <w:sz w:val="22"/>
                <w:szCs w:val="22"/>
                <w:lang w:val="en-US" w:eastAsia="en-US"/>
              </w:rPr>
              <w:t>1.1</w:t>
            </w:r>
          </w:p>
        </w:tc>
        <w:tc>
          <w:tcPr>
            <w:tcW w:w="1519" w:type="dxa"/>
            <w:tcBorders>
              <w:top w:val="nil"/>
              <w:left w:val="nil"/>
              <w:bottom w:val="nil"/>
              <w:right w:val="nil"/>
            </w:tcBorders>
            <w:shd w:val="clear" w:color="auto" w:fill="auto"/>
            <w:noWrap/>
            <w:vAlign w:val="bottom"/>
            <w:hideMark/>
          </w:tcPr>
          <w:p w:rsidR="005C0D39" w:rsidRPr="00FC6D03" w:rsidRDefault="005C0D39" w:rsidP="0030417A">
            <w:pPr>
              <w:spacing w:before="0"/>
              <w:jc w:val="center"/>
              <w:rPr>
                <w:rFonts w:ascii="Calibri" w:hAnsi="Calibri"/>
                <w:color w:val="000000"/>
                <w:sz w:val="22"/>
                <w:szCs w:val="22"/>
                <w:lang w:val="en-US" w:eastAsia="en-US"/>
              </w:rPr>
            </w:pPr>
            <w:r w:rsidRPr="00FC6D03">
              <w:rPr>
                <w:rFonts w:ascii="Calibri" w:hAnsi="Calibri"/>
                <w:color w:val="000000"/>
                <w:sz w:val="22"/>
                <w:szCs w:val="22"/>
                <w:lang w:val="en-US" w:eastAsia="en-US"/>
              </w:rPr>
              <w:t>1.4</w:t>
            </w:r>
          </w:p>
        </w:tc>
        <w:tc>
          <w:tcPr>
            <w:tcW w:w="1519" w:type="dxa"/>
            <w:tcBorders>
              <w:top w:val="nil"/>
              <w:left w:val="nil"/>
              <w:bottom w:val="nil"/>
              <w:right w:val="nil"/>
            </w:tcBorders>
            <w:shd w:val="clear" w:color="auto" w:fill="auto"/>
            <w:noWrap/>
            <w:vAlign w:val="bottom"/>
            <w:hideMark/>
          </w:tcPr>
          <w:p w:rsidR="005C0D39" w:rsidRPr="00FC6D03" w:rsidRDefault="005C0D39" w:rsidP="0030417A">
            <w:pPr>
              <w:spacing w:before="0"/>
              <w:jc w:val="center"/>
              <w:rPr>
                <w:rFonts w:ascii="Calibri" w:hAnsi="Calibri"/>
                <w:color w:val="000000"/>
                <w:sz w:val="22"/>
                <w:szCs w:val="22"/>
                <w:lang w:val="en-US" w:eastAsia="en-US"/>
              </w:rPr>
            </w:pPr>
            <w:r w:rsidRPr="00FC6D03">
              <w:rPr>
                <w:rFonts w:ascii="Calibri" w:hAnsi="Calibri"/>
                <w:color w:val="000000"/>
                <w:sz w:val="22"/>
                <w:szCs w:val="22"/>
                <w:lang w:val="en-US" w:eastAsia="en-US"/>
              </w:rPr>
              <w:t>1.3</w:t>
            </w:r>
          </w:p>
        </w:tc>
        <w:tc>
          <w:tcPr>
            <w:tcW w:w="1519" w:type="dxa"/>
            <w:tcBorders>
              <w:top w:val="nil"/>
              <w:left w:val="nil"/>
              <w:bottom w:val="nil"/>
              <w:right w:val="nil"/>
            </w:tcBorders>
            <w:shd w:val="clear" w:color="auto" w:fill="auto"/>
            <w:noWrap/>
            <w:vAlign w:val="bottom"/>
            <w:hideMark/>
          </w:tcPr>
          <w:p w:rsidR="005C0D39" w:rsidRPr="00FC6D03" w:rsidRDefault="005C0D39" w:rsidP="0030417A">
            <w:pPr>
              <w:spacing w:before="0"/>
              <w:jc w:val="center"/>
              <w:rPr>
                <w:rFonts w:ascii="Calibri" w:hAnsi="Calibri"/>
                <w:color w:val="000000"/>
                <w:sz w:val="22"/>
                <w:szCs w:val="22"/>
                <w:lang w:val="en-US" w:eastAsia="en-US"/>
              </w:rPr>
            </w:pPr>
            <w:r w:rsidRPr="00FC6D03">
              <w:rPr>
                <w:rFonts w:ascii="Calibri" w:hAnsi="Calibri"/>
                <w:color w:val="000000"/>
                <w:sz w:val="22"/>
                <w:szCs w:val="22"/>
                <w:lang w:val="en-US" w:eastAsia="en-US"/>
              </w:rPr>
              <w:t>2.3</w:t>
            </w:r>
          </w:p>
        </w:tc>
      </w:tr>
      <w:tr w:rsidR="005C0D39" w:rsidRPr="00FC6D03" w:rsidTr="0030417A">
        <w:trPr>
          <w:trHeight w:val="307"/>
        </w:trPr>
        <w:tc>
          <w:tcPr>
            <w:tcW w:w="2416" w:type="dxa"/>
            <w:tcBorders>
              <w:top w:val="nil"/>
              <w:left w:val="nil"/>
              <w:bottom w:val="double" w:sz="6" w:space="0" w:color="auto"/>
              <w:right w:val="nil"/>
            </w:tcBorders>
            <w:shd w:val="clear" w:color="auto" w:fill="auto"/>
            <w:noWrap/>
            <w:vAlign w:val="bottom"/>
            <w:hideMark/>
          </w:tcPr>
          <w:p w:rsidR="005C0D39" w:rsidRPr="00FC6D03" w:rsidRDefault="005C0D39" w:rsidP="0030417A">
            <w:pPr>
              <w:spacing w:before="0"/>
              <w:jc w:val="left"/>
              <w:rPr>
                <w:rFonts w:ascii="Calibri" w:hAnsi="Calibri"/>
                <w:b/>
                <w:bCs/>
                <w:color w:val="000000"/>
                <w:sz w:val="22"/>
                <w:szCs w:val="22"/>
                <w:lang w:val="en-US" w:eastAsia="en-US"/>
              </w:rPr>
            </w:pPr>
            <w:r w:rsidRPr="00FC6D03">
              <w:rPr>
                <w:rFonts w:ascii="Calibri" w:hAnsi="Calibri"/>
                <w:b/>
                <w:bCs/>
                <w:color w:val="000000"/>
                <w:sz w:val="22"/>
                <w:szCs w:val="22"/>
                <w:lang w:val="en-US" w:eastAsia="en-US"/>
              </w:rPr>
              <w:t xml:space="preserve">  CORR GDP</w:t>
            </w:r>
          </w:p>
        </w:tc>
        <w:tc>
          <w:tcPr>
            <w:tcW w:w="1519" w:type="dxa"/>
            <w:tcBorders>
              <w:top w:val="nil"/>
              <w:left w:val="nil"/>
              <w:bottom w:val="double" w:sz="6" w:space="0" w:color="auto"/>
              <w:right w:val="nil"/>
            </w:tcBorders>
            <w:shd w:val="clear" w:color="auto" w:fill="auto"/>
            <w:noWrap/>
            <w:vAlign w:val="bottom"/>
            <w:hideMark/>
          </w:tcPr>
          <w:p w:rsidR="005C0D39" w:rsidRPr="00FC6D03" w:rsidRDefault="005C0D39" w:rsidP="0030417A">
            <w:pPr>
              <w:spacing w:before="0"/>
              <w:jc w:val="center"/>
              <w:rPr>
                <w:rFonts w:ascii="Calibri" w:hAnsi="Calibri"/>
                <w:color w:val="000000"/>
                <w:sz w:val="22"/>
                <w:szCs w:val="22"/>
                <w:lang w:val="en-US" w:eastAsia="en-US"/>
              </w:rPr>
            </w:pPr>
            <w:r w:rsidRPr="00FC6D03">
              <w:rPr>
                <w:rFonts w:ascii="Calibri" w:hAnsi="Calibri"/>
                <w:color w:val="000000"/>
                <w:sz w:val="22"/>
                <w:szCs w:val="22"/>
                <w:lang w:val="en-US" w:eastAsia="en-US"/>
              </w:rPr>
              <w:t>1.3</w:t>
            </w:r>
          </w:p>
        </w:tc>
        <w:tc>
          <w:tcPr>
            <w:tcW w:w="1519" w:type="dxa"/>
            <w:tcBorders>
              <w:top w:val="nil"/>
              <w:left w:val="nil"/>
              <w:bottom w:val="double" w:sz="6" w:space="0" w:color="auto"/>
              <w:right w:val="nil"/>
            </w:tcBorders>
            <w:shd w:val="clear" w:color="auto" w:fill="auto"/>
            <w:noWrap/>
            <w:vAlign w:val="bottom"/>
            <w:hideMark/>
          </w:tcPr>
          <w:p w:rsidR="005C0D39" w:rsidRPr="00FC6D03" w:rsidRDefault="005C0D39" w:rsidP="0030417A">
            <w:pPr>
              <w:spacing w:before="0"/>
              <w:jc w:val="center"/>
              <w:rPr>
                <w:rFonts w:ascii="Calibri" w:hAnsi="Calibri"/>
                <w:color w:val="000000"/>
                <w:sz w:val="22"/>
                <w:szCs w:val="22"/>
                <w:lang w:val="en-US" w:eastAsia="en-US"/>
              </w:rPr>
            </w:pPr>
            <w:r w:rsidRPr="00FC6D03">
              <w:rPr>
                <w:rFonts w:ascii="Calibri" w:hAnsi="Calibri"/>
                <w:color w:val="000000"/>
                <w:sz w:val="22"/>
                <w:szCs w:val="22"/>
                <w:lang w:val="en-US" w:eastAsia="en-US"/>
              </w:rPr>
              <w:t>1.4</w:t>
            </w:r>
          </w:p>
        </w:tc>
        <w:tc>
          <w:tcPr>
            <w:tcW w:w="1519" w:type="dxa"/>
            <w:tcBorders>
              <w:top w:val="nil"/>
              <w:left w:val="nil"/>
              <w:bottom w:val="double" w:sz="6" w:space="0" w:color="auto"/>
              <w:right w:val="nil"/>
            </w:tcBorders>
            <w:shd w:val="clear" w:color="auto" w:fill="auto"/>
            <w:noWrap/>
            <w:vAlign w:val="bottom"/>
            <w:hideMark/>
          </w:tcPr>
          <w:p w:rsidR="005C0D39" w:rsidRPr="00FC6D03" w:rsidRDefault="005C0D39" w:rsidP="0030417A">
            <w:pPr>
              <w:spacing w:before="0"/>
              <w:jc w:val="center"/>
              <w:rPr>
                <w:rFonts w:ascii="Calibri" w:hAnsi="Calibri"/>
                <w:color w:val="000000"/>
                <w:sz w:val="22"/>
                <w:szCs w:val="22"/>
                <w:lang w:val="en-US" w:eastAsia="en-US"/>
              </w:rPr>
            </w:pPr>
            <w:r w:rsidRPr="00FC6D03">
              <w:rPr>
                <w:rFonts w:ascii="Calibri" w:hAnsi="Calibri"/>
                <w:color w:val="000000"/>
                <w:sz w:val="22"/>
                <w:szCs w:val="22"/>
                <w:lang w:val="en-US" w:eastAsia="en-US"/>
              </w:rPr>
              <w:t>1.3</w:t>
            </w:r>
          </w:p>
        </w:tc>
        <w:tc>
          <w:tcPr>
            <w:tcW w:w="1519" w:type="dxa"/>
            <w:tcBorders>
              <w:top w:val="nil"/>
              <w:left w:val="nil"/>
              <w:bottom w:val="double" w:sz="6" w:space="0" w:color="auto"/>
              <w:right w:val="nil"/>
            </w:tcBorders>
            <w:shd w:val="clear" w:color="auto" w:fill="auto"/>
            <w:noWrap/>
            <w:vAlign w:val="bottom"/>
            <w:hideMark/>
          </w:tcPr>
          <w:p w:rsidR="005C0D39" w:rsidRPr="00FC6D03" w:rsidRDefault="005C0D39" w:rsidP="0030417A">
            <w:pPr>
              <w:spacing w:before="0"/>
              <w:jc w:val="center"/>
              <w:rPr>
                <w:rFonts w:ascii="Calibri" w:hAnsi="Calibri"/>
                <w:color w:val="000000"/>
                <w:sz w:val="22"/>
                <w:szCs w:val="22"/>
                <w:lang w:val="en-US" w:eastAsia="en-US"/>
              </w:rPr>
            </w:pPr>
            <w:r w:rsidRPr="00FC6D03">
              <w:rPr>
                <w:rFonts w:ascii="Calibri" w:hAnsi="Calibri"/>
                <w:color w:val="000000"/>
                <w:sz w:val="22"/>
                <w:szCs w:val="22"/>
                <w:lang w:val="en-US" w:eastAsia="en-US"/>
              </w:rPr>
              <w:t>1.3</w:t>
            </w:r>
          </w:p>
        </w:tc>
      </w:tr>
    </w:tbl>
    <w:p w:rsidR="005C0D39" w:rsidRPr="00584640" w:rsidRDefault="005C0D39" w:rsidP="005C0D39">
      <w:pPr>
        <w:rPr>
          <w:lang w:val="en-US"/>
        </w:rPr>
      </w:pPr>
      <w:r w:rsidRPr="00584640">
        <w:rPr>
          <w:sz w:val="20"/>
          <w:lang w:val="en-US"/>
        </w:rPr>
        <w:t xml:space="preserve">Source: </w:t>
      </w:r>
      <w:r>
        <w:rPr>
          <w:sz w:val="20"/>
          <w:lang w:val="en-US"/>
        </w:rPr>
        <w:t>A</w:t>
      </w:r>
      <w:r w:rsidRPr="00584640">
        <w:rPr>
          <w:sz w:val="20"/>
          <w:lang w:val="en-US"/>
        </w:rPr>
        <w:t>uthors</w:t>
      </w:r>
      <w:r>
        <w:rPr>
          <w:sz w:val="20"/>
          <w:lang w:val="en-US"/>
        </w:rPr>
        <w:t>’</w:t>
      </w:r>
      <w:r w:rsidRPr="00584640">
        <w:rPr>
          <w:sz w:val="20"/>
          <w:lang w:val="en-US"/>
        </w:rPr>
        <w:t xml:space="preserve"> calculations based on RAIS/MTE data. H</w:t>
      </w:r>
      <w:r>
        <w:rPr>
          <w:sz w:val="20"/>
          <w:lang w:val="en-US"/>
        </w:rPr>
        <w:t>:</w:t>
      </w:r>
      <w:r w:rsidRPr="00584640">
        <w:rPr>
          <w:sz w:val="20"/>
          <w:lang w:val="en-US"/>
        </w:rPr>
        <w:t xml:space="preserve"> Hiring rate; S</w:t>
      </w:r>
      <w:r>
        <w:rPr>
          <w:sz w:val="20"/>
          <w:lang w:val="en-US"/>
        </w:rPr>
        <w:t>:</w:t>
      </w:r>
      <w:r w:rsidRPr="00584640">
        <w:rPr>
          <w:sz w:val="20"/>
          <w:lang w:val="en-US"/>
        </w:rPr>
        <w:t xml:space="preserve"> Separation rate; T = Turnover rate</w:t>
      </w:r>
      <w:r>
        <w:rPr>
          <w:sz w:val="20"/>
          <w:lang w:val="en-US"/>
        </w:rPr>
        <w:t xml:space="preserve"> </w:t>
      </w:r>
      <w:r w:rsidRPr="00584640">
        <w:rPr>
          <w:sz w:val="20"/>
          <w:lang w:val="en-US"/>
        </w:rPr>
        <w:t xml:space="preserve">(T=H+S); </w:t>
      </w:r>
      <w:r>
        <w:rPr>
          <w:sz w:val="20"/>
          <w:lang w:val="en-US"/>
        </w:rPr>
        <w:t>CH= T - |</w:t>
      </w:r>
      <w:r w:rsidRPr="00584640">
        <w:rPr>
          <w:sz w:val="20"/>
          <w:lang w:val="en-US"/>
        </w:rPr>
        <w:t>H</w:t>
      </w:r>
      <w:r>
        <w:rPr>
          <w:sz w:val="20"/>
          <w:lang w:val="en-US"/>
        </w:rPr>
        <w:t>-</w:t>
      </w:r>
      <w:r w:rsidRPr="00584640">
        <w:rPr>
          <w:sz w:val="20"/>
          <w:lang w:val="en-US"/>
        </w:rPr>
        <w:t>S</w:t>
      </w:r>
      <w:r>
        <w:rPr>
          <w:sz w:val="20"/>
          <w:lang w:val="en-US"/>
        </w:rPr>
        <w:t>|</w:t>
      </w:r>
      <w:r w:rsidRPr="00584640">
        <w:rPr>
          <w:sz w:val="20"/>
          <w:lang w:val="en-US"/>
        </w:rPr>
        <w:t xml:space="preserve">. </w:t>
      </w:r>
      <w:r>
        <w:rPr>
          <w:sz w:val="20"/>
          <w:lang w:val="en-US"/>
        </w:rPr>
        <w:t xml:space="preserve">CV is the coefficient of variation. </w:t>
      </w:r>
      <w:proofErr w:type="spellStart"/>
      <w:r w:rsidRPr="00584640">
        <w:rPr>
          <w:sz w:val="20"/>
          <w:lang w:val="en-US"/>
        </w:rPr>
        <w:t>Corr</w:t>
      </w:r>
      <w:proofErr w:type="spellEnd"/>
      <w:r w:rsidRPr="00584640">
        <w:rPr>
          <w:sz w:val="20"/>
          <w:lang w:val="en-US"/>
        </w:rPr>
        <w:t xml:space="preserve"> </w:t>
      </w:r>
      <w:r>
        <w:rPr>
          <w:sz w:val="20"/>
          <w:lang w:val="en-US"/>
        </w:rPr>
        <w:t xml:space="preserve">GDP represents the </w:t>
      </w:r>
      <w:r w:rsidRPr="00584640">
        <w:rPr>
          <w:sz w:val="20"/>
          <w:lang w:val="en-US"/>
        </w:rPr>
        <w:t xml:space="preserve">simple correlation of </w:t>
      </w:r>
      <w:r>
        <w:rPr>
          <w:sz w:val="20"/>
          <w:lang w:val="en-US"/>
        </w:rPr>
        <w:t xml:space="preserve">each </w:t>
      </w:r>
      <w:r w:rsidRPr="00584640">
        <w:rPr>
          <w:sz w:val="20"/>
          <w:lang w:val="en-US"/>
        </w:rPr>
        <w:t>variable with</w:t>
      </w:r>
      <w:r>
        <w:rPr>
          <w:sz w:val="20"/>
          <w:lang w:val="en-US"/>
        </w:rPr>
        <w:t xml:space="preserve"> GDP</w:t>
      </w:r>
      <w:r w:rsidRPr="00584640">
        <w:rPr>
          <w:sz w:val="20"/>
          <w:lang w:val="en-US"/>
        </w:rPr>
        <w:t xml:space="preserve">. </w:t>
      </w:r>
    </w:p>
    <w:p w:rsidR="005C0D39" w:rsidRDefault="005C0D39" w:rsidP="005C0D39">
      <w:pPr>
        <w:spacing w:line="360" w:lineRule="auto"/>
        <w:ind w:firstLine="708"/>
        <w:rPr>
          <w:lang w:val="en-US"/>
        </w:rPr>
      </w:pPr>
    </w:p>
    <w:p w:rsidR="005C0D39" w:rsidRDefault="005C0D39" w:rsidP="005C0D39">
      <w:pPr>
        <w:spacing w:line="360" w:lineRule="auto"/>
        <w:rPr>
          <w:lang w:val="en-US"/>
        </w:rPr>
      </w:pPr>
      <w:r>
        <w:rPr>
          <w:lang w:val="en-US"/>
        </w:rPr>
        <w:t>Table 1 allows us to check how close is the association between the business cycle and the age</w:t>
      </w:r>
      <w:r w:rsidR="000B264F">
        <w:rPr>
          <w:lang w:val="en-US"/>
        </w:rPr>
        <w:t>-</w:t>
      </w:r>
      <w:r>
        <w:rPr>
          <w:lang w:val="en-US"/>
        </w:rPr>
        <w:t xml:space="preserve">specific labor flows. The </w:t>
      </w:r>
      <w:r w:rsidR="000B264F">
        <w:rPr>
          <w:lang w:val="en-US"/>
        </w:rPr>
        <w:t xml:space="preserve">rows </w:t>
      </w:r>
      <w:proofErr w:type="spellStart"/>
      <w:r>
        <w:rPr>
          <w:lang w:val="en-US"/>
        </w:rPr>
        <w:t>Corr</w:t>
      </w:r>
      <w:proofErr w:type="spellEnd"/>
      <w:r>
        <w:rPr>
          <w:lang w:val="en-US"/>
        </w:rPr>
        <w:t xml:space="preserve"> GDP </w:t>
      </w:r>
      <w:r w:rsidR="000B264F">
        <w:rPr>
          <w:lang w:val="en-US"/>
        </w:rPr>
        <w:t xml:space="preserve">in the Table </w:t>
      </w:r>
      <w:r>
        <w:rPr>
          <w:lang w:val="en-US"/>
        </w:rPr>
        <w:t xml:space="preserve">display the correlation coefficient between each flow measure and the GDP. The correlations confirm that the flow measures for young workers are more sensitive to business cycle than the ones computed for adult workers (correlations for the former group are around 30 to 40% higher than that of the latter group). </w:t>
      </w:r>
    </w:p>
    <w:p w:rsidR="005C0D39" w:rsidRDefault="005C0D39" w:rsidP="005C0D39">
      <w:pPr>
        <w:spacing w:line="360" w:lineRule="auto"/>
        <w:ind w:firstLine="360"/>
        <w:rPr>
          <w:lang w:val="en-US"/>
        </w:rPr>
      </w:pPr>
      <w:r>
        <w:rPr>
          <w:lang w:val="en-US"/>
        </w:rPr>
        <w:t>The results presented in this section indicate that young workers do not seem to fac</w:t>
      </w:r>
      <w:r w:rsidR="000B264F">
        <w:rPr>
          <w:lang w:val="en-US"/>
        </w:rPr>
        <w:t xml:space="preserve">e strong barriers to </w:t>
      </w:r>
      <w:r>
        <w:rPr>
          <w:lang w:val="en-US"/>
        </w:rPr>
        <w:t xml:space="preserve">formal labor market </w:t>
      </w:r>
      <w:r w:rsidR="009021DB">
        <w:rPr>
          <w:lang w:val="en-US"/>
        </w:rPr>
        <w:t xml:space="preserve">entry </w:t>
      </w:r>
      <w:r>
        <w:rPr>
          <w:lang w:val="en-US"/>
        </w:rPr>
        <w:t>in Brazil. The lowest value of the hiring rate was 80%, its average amounted to more than 90%, and in three years (2007, 2008, and 2010) it surpassed 100%. But, though jobs are relatively easy to get, they are a</w:t>
      </w:r>
      <w:r w:rsidR="009021DB">
        <w:rPr>
          <w:lang w:val="en-US"/>
        </w:rPr>
        <w:t xml:space="preserve">lso riskier to lose. Indeed, </w:t>
      </w:r>
      <w:r>
        <w:rPr>
          <w:lang w:val="en-US"/>
        </w:rPr>
        <w:t>the figures show th</w:t>
      </w:r>
      <w:r w:rsidR="00D53E6A">
        <w:rPr>
          <w:lang w:val="en-US"/>
        </w:rPr>
        <w:t>at</w:t>
      </w:r>
      <w:r>
        <w:rPr>
          <w:lang w:val="en-US"/>
        </w:rPr>
        <w:t xml:space="preserve"> separations rate</w:t>
      </w:r>
      <w:r w:rsidR="00D53E6A">
        <w:rPr>
          <w:lang w:val="en-US"/>
        </w:rPr>
        <w:t>s</w:t>
      </w:r>
      <w:r>
        <w:rPr>
          <w:lang w:val="en-US"/>
        </w:rPr>
        <w:t xml:space="preserve"> </w:t>
      </w:r>
      <w:r w:rsidR="00D53E6A">
        <w:rPr>
          <w:lang w:val="en-US"/>
        </w:rPr>
        <w:t>are</w:t>
      </w:r>
      <w:r>
        <w:rPr>
          <w:lang w:val="en-US"/>
        </w:rPr>
        <w:t xml:space="preserve"> also very high for youths: </w:t>
      </w:r>
      <w:r>
        <w:rPr>
          <w:lang w:val="en-US"/>
        </w:rPr>
        <w:lastRenderedPageBreak/>
        <w:t xml:space="preserve">minimum of 65%, average of more than 70%, and in two years (2008 and 2010) it was above 85%. </w:t>
      </w:r>
      <w:r w:rsidR="000B264F">
        <w:rPr>
          <w:lang w:val="en-US"/>
        </w:rPr>
        <w:t>As a</w:t>
      </w:r>
      <w:r>
        <w:rPr>
          <w:lang w:val="en-US"/>
        </w:rPr>
        <w:t xml:space="preserve"> result</w:t>
      </w:r>
      <w:r w:rsidR="000B264F">
        <w:rPr>
          <w:lang w:val="en-US"/>
        </w:rPr>
        <w:t>,</w:t>
      </w:r>
      <w:r>
        <w:rPr>
          <w:lang w:val="en-US"/>
        </w:rPr>
        <w:t xml:space="preserve"> young workers end up experiencing very high levels of</w:t>
      </w:r>
      <w:r w:rsidR="000B264F">
        <w:rPr>
          <w:lang w:val="en-US"/>
        </w:rPr>
        <w:t xml:space="preserve"> </w:t>
      </w:r>
      <w:r>
        <w:rPr>
          <w:lang w:val="en-US"/>
        </w:rPr>
        <w:t xml:space="preserve">labor market turnover. </w:t>
      </w:r>
      <w:r w:rsidR="00D53E6A">
        <w:rPr>
          <w:lang w:val="en-US"/>
        </w:rPr>
        <w:t>O</w:t>
      </w:r>
      <w:r>
        <w:rPr>
          <w:lang w:val="en-US"/>
        </w:rPr>
        <w:t>n the one hand transiting across many different jobs may enh</w:t>
      </w:r>
      <w:r w:rsidR="00D53E6A">
        <w:rPr>
          <w:lang w:val="en-US"/>
        </w:rPr>
        <w:t>ance better matching with firms. O</w:t>
      </w:r>
      <w:r>
        <w:rPr>
          <w:lang w:val="en-US"/>
        </w:rPr>
        <w:t xml:space="preserve">n the other </w:t>
      </w:r>
      <w:r w:rsidR="00D53E6A">
        <w:rPr>
          <w:lang w:val="en-US"/>
        </w:rPr>
        <w:t xml:space="preserve">hand, </w:t>
      </w:r>
      <w:r>
        <w:rPr>
          <w:lang w:val="en-US"/>
        </w:rPr>
        <w:t xml:space="preserve">entering and leaving jobs very easily tend to depress the acquisition of general and firm-specific </w:t>
      </w:r>
      <w:r w:rsidR="000B264F">
        <w:rPr>
          <w:lang w:val="en-US"/>
        </w:rPr>
        <w:t xml:space="preserve">labor </w:t>
      </w:r>
      <w:r>
        <w:rPr>
          <w:lang w:val="en-US"/>
        </w:rPr>
        <w:t xml:space="preserve">experience. Since the accumulation of this type of human capital is important, the elevated turnover experienced by youths in Brazil </w:t>
      </w:r>
      <w:r w:rsidR="000B264F">
        <w:rPr>
          <w:lang w:val="en-US"/>
        </w:rPr>
        <w:t xml:space="preserve">is a factor that </w:t>
      </w:r>
      <w:r>
        <w:rPr>
          <w:lang w:val="en-US"/>
        </w:rPr>
        <w:t xml:space="preserve">hinders </w:t>
      </w:r>
      <w:r w:rsidR="000B264F">
        <w:rPr>
          <w:lang w:val="en-US"/>
        </w:rPr>
        <w:t xml:space="preserve">the increase in their </w:t>
      </w:r>
      <w:r>
        <w:rPr>
          <w:lang w:val="en-US"/>
        </w:rPr>
        <w:t>(future) productivity and wages.</w:t>
      </w:r>
    </w:p>
    <w:p w:rsidR="00F20895" w:rsidRDefault="00F20895" w:rsidP="005C0D39">
      <w:pPr>
        <w:spacing w:line="360" w:lineRule="auto"/>
        <w:ind w:firstLine="360"/>
        <w:rPr>
          <w:lang w:val="en-US"/>
        </w:rPr>
      </w:pPr>
    </w:p>
    <w:p w:rsidR="005C0D39" w:rsidRDefault="005C0D39" w:rsidP="005C0D39">
      <w:pPr>
        <w:spacing w:line="360" w:lineRule="auto"/>
        <w:rPr>
          <w:b/>
          <w:lang w:val="en-US"/>
        </w:rPr>
      </w:pPr>
      <w:r w:rsidRPr="005E5A66">
        <w:rPr>
          <w:b/>
          <w:lang w:val="en-US"/>
        </w:rPr>
        <w:t>4.</w:t>
      </w:r>
      <w:r w:rsidRPr="005E5A66">
        <w:rPr>
          <w:lang w:val="en-US"/>
        </w:rPr>
        <w:t xml:space="preserve"> </w:t>
      </w:r>
      <w:r>
        <w:rPr>
          <w:b/>
          <w:lang w:val="en-US"/>
        </w:rPr>
        <w:t>A closer look at youth hiring rates: the role of unstable jobs</w:t>
      </w:r>
    </w:p>
    <w:p w:rsidR="005C0D39" w:rsidRDefault="005C0D39" w:rsidP="005C0D39">
      <w:pPr>
        <w:spacing w:line="360" w:lineRule="auto"/>
        <w:rPr>
          <w:lang w:val="en-US"/>
        </w:rPr>
      </w:pPr>
      <w:proofErr w:type="spellStart"/>
      <w:r>
        <w:rPr>
          <w:lang w:val="en-US"/>
        </w:rPr>
        <w:t>Hirings</w:t>
      </w:r>
      <w:proofErr w:type="spellEnd"/>
      <w:r>
        <w:rPr>
          <w:lang w:val="en-US"/>
        </w:rPr>
        <w:t xml:space="preserve"> and separations from jobs are not </w:t>
      </w:r>
      <w:r w:rsidR="000B264F">
        <w:rPr>
          <w:lang w:val="en-US"/>
        </w:rPr>
        <w:t xml:space="preserve">necessarily </w:t>
      </w:r>
      <w:r>
        <w:rPr>
          <w:lang w:val="en-US"/>
        </w:rPr>
        <w:t xml:space="preserve">independent events. For instance, in a developing country like Brazil, there is a large share of jobs of inferior quality (low wages, temporary contracts, unsatisfactory working conditions etc.) which are easily filled by the large share of less qualified workers available in the country. As they do not retain workers for long periods, high levels of </w:t>
      </w:r>
      <w:proofErr w:type="spellStart"/>
      <w:r>
        <w:rPr>
          <w:lang w:val="en-US"/>
        </w:rPr>
        <w:t>hiring</w:t>
      </w:r>
      <w:r w:rsidR="000B264F">
        <w:rPr>
          <w:lang w:val="en-US"/>
        </w:rPr>
        <w:t>s</w:t>
      </w:r>
      <w:proofErr w:type="spellEnd"/>
      <w:r>
        <w:rPr>
          <w:lang w:val="en-US"/>
        </w:rPr>
        <w:t xml:space="preserve"> and separation</w:t>
      </w:r>
      <w:r w:rsidR="000B264F">
        <w:rPr>
          <w:lang w:val="en-US"/>
        </w:rPr>
        <w:t>s</w:t>
      </w:r>
      <w:r>
        <w:rPr>
          <w:lang w:val="en-US"/>
        </w:rPr>
        <w:t xml:space="preserve"> are a common feature of this kind of jobs. If youths’ </w:t>
      </w:r>
      <w:proofErr w:type="spellStart"/>
      <w:r>
        <w:rPr>
          <w:lang w:val="en-US"/>
        </w:rPr>
        <w:t>hirings</w:t>
      </w:r>
      <w:proofErr w:type="spellEnd"/>
      <w:r>
        <w:rPr>
          <w:lang w:val="en-US"/>
        </w:rPr>
        <w:t xml:space="preserve"> are overrepresented in this type of jobs, then at least part of the high levels of separations we observe for them comes from the high levels of hiring to unstable jobs. </w:t>
      </w:r>
      <w:r w:rsidRPr="0034420C">
        <w:rPr>
          <w:lang w:val="en-US"/>
        </w:rPr>
        <w:t>In order words</w:t>
      </w:r>
      <w:r>
        <w:rPr>
          <w:lang w:val="en-US"/>
        </w:rPr>
        <w:t>,</w:t>
      </w:r>
      <w:r w:rsidRPr="0034420C">
        <w:rPr>
          <w:lang w:val="en-US"/>
        </w:rPr>
        <w:t xml:space="preserve"> high separation rates could be induced by entrance “through the wrong door”.</w:t>
      </w:r>
    </w:p>
    <w:p w:rsidR="005C0D39" w:rsidRDefault="005C0D39" w:rsidP="005C0D39">
      <w:pPr>
        <w:spacing w:line="360" w:lineRule="auto"/>
        <w:rPr>
          <w:lang w:val="en-US"/>
        </w:rPr>
      </w:pPr>
      <w:r>
        <w:rPr>
          <w:lang w:val="en-US"/>
        </w:rPr>
        <w:t xml:space="preserve">In order to investigate this possibility, we explore some features available in our data to check whether or not younger workers are overrepresented in some types of jobs that tend to </w:t>
      </w:r>
      <w:r w:rsidR="0036403D">
        <w:rPr>
          <w:lang w:val="en-US"/>
        </w:rPr>
        <w:t>have higher degree of instability</w:t>
      </w:r>
      <w:r>
        <w:rPr>
          <w:lang w:val="en-US"/>
        </w:rPr>
        <w:t>. Specifically, we will look at the proportion of temporary jobs or jobs at cooperatives</w:t>
      </w:r>
      <w:r w:rsidR="0036403D">
        <w:rPr>
          <w:lang w:val="en-US"/>
        </w:rPr>
        <w:t xml:space="preserve"> in hiring episodes involving young workers</w:t>
      </w:r>
      <w:r>
        <w:rPr>
          <w:lang w:val="en-US"/>
        </w:rPr>
        <w:t>.</w:t>
      </w:r>
    </w:p>
    <w:p w:rsidR="005C0D39" w:rsidRDefault="005A3E18" w:rsidP="005C0D39">
      <w:pPr>
        <w:spacing w:line="360" w:lineRule="auto"/>
        <w:rPr>
          <w:lang w:val="en-US"/>
        </w:rPr>
      </w:pPr>
      <w:r>
        <w:rPr>
          <w:lang w:val="en-US"/>
        </w:rPr>
        <w:t>Figure 4</w:t>
      </w:r>
      <w:r w:rsidR="005C0D39">
        <w:rPr>
          <w:lang w:val="en-US"/>
        </w:rPr>
        <w:t xml:space="preserve"> shows the share of </w:t>
      </w:r>
      <w:proofErr w:type="spellStart"/>
      <w:r w:rsidR="005C0D39">
        <w:rPr>
          <w:lang w:val="en-US"/>
        </w:rPr>
        <w:t>hiring</w:t>
      </w:r>
      <w:r w:rsidR="000B264F">
        <w:rPr>
          <w:lang w:val="en-US"/>
        </w:rPr>
        <w:t>s</w:t>
      </w:r>
      <w:proofErr w:type="spellEnd"/>
      <w:r w:rsidR="005C0D39">
        <w:rPr>
          <w:lang w:val="en-US"/>
        </w:rPr>
        <w:t xml:space="preserve"> in temporary contracts for young and adult workers. Two points stand out from this Figure. First, the share of temporary contracts is much lower in Brazil than what is reported for EU countries: while the share for Brazilian young workers never reached 13% between 1996 and 2010, the figure is close to 43% in the case of EU countries (O’Higgins, 2012). Second, despite the similar values at the beginning of the period, the share of youths hired for temporary jobs rose, while the corresponding share for adults did not change much. In part, the rise observed for </w:t>
      </w:r>
      <w:r w:rsidR="005C0D39">
        <w:rPr>
          <w:lang w:val="en-US"/>
        </w:rPr>
        <w:lastRenderedPageBreak/>
        <w:t xml:space="preserve">youths </w:t>
      </w:r>
      <w:r w:rsidR="00B20DAD">
        <w:rPr>
          <w:lang w:val="en-US"/>
        </w:rPr>
        <w:t>can</w:t>
      </w:r>
      <w:r w:rsidR="005C0D39">
        <w:rPr>
          <w:lang w:val="en-US"/>
        </w:rPr>
        <w:t xml:space="preserve"> be attributed to the increased use of the apprentice contract, which was launched by the government in 2000.</w:t>
      </w:r>
      <w:r w:rsidR="005C0D39">
        <w:rPr>
          <w:rStyle w:val="Refdenotaderodap"/>
          <w:lang w:val="en-US"/>
        </w:rPr>
        <w:footnoteReference w:id="11"/>
      </w:r>
    </w:p>
    <w:p w:rsidR="005C0D39" w:rsidRDefault="005C0D39" w:rsidP="005C0D39">
      <w:pPr>
        <w:spacing w:line="360" w:lineRule="auto"/>
        <w:rPr>
          <w:lang w:val="en-US"/>
        </w:rPr>
      </w:pPr>
      <w:r>
        <w:rPr>
          <w:lang w:val="en-US"/>
        </w:rPr>
        <w:t>Another form of unstable jobs often pointed as partly responsible for downgrading labor relations in the country are jobs offered by cooperatives</w:t>
      </w:r>
      <w:r w:rsidR="00D53E6A">
        <w:rPr>
          <w:lang w:val="en-US"/>
        </w:rPr>
        <w:t xml:space="preserve"> (“coops”)</w:t>
      </w:r>
      <w:r>
        <w:rPr>
          <w:lang w:val="en-US"/>
        </w:rPr>
        <w:t>.</w:t>
      </w:r>
      <w:r>
        <w:rPr>
          <w:rStyle w:val="Refdenotaderodap"/>
          <w:lang w:val="en-US"/>
        </w:rPr>
        <w:footnoteReference w:id="12"/>
      </w:r>
      <w:r w:rsidR="00DE64A4">
        <w:rPr>
          <w:lang w:val="en-US"/>
        </w:rPr>
        <w:t xml:space="preserve"> Figure 5</w:t>
      </w:r>
      <w:r>
        <w:rPr>
          <w:lang w:val="en-US"/>
        </w:rPr>
        <w:t xml:space="preserve"> shows the share of youths and adults that were hired by cooperatives between 1996 and 2010. The main point to notice from this Figure is that the fraction of the age groups hired by coops during this interval was less than 1%, that is, almost </w:t>
      </w:r>
      <w:r w:rsidR="00AF4511">
        <w:rPr>
          <w:lang w:val="en-US"/>
        </w:rPr>
        <w:t xml:space="preserve">a </w:t>
      </w:r>
      <w:r>
        <w:rPr>
          <w:lang w:val="en-US"/>
        </w:rPr>
        <w:t>negligible</w:t>
      </w:r>
      <w:r w:rsidR="00AF4511">
        <w:rPr>
          <w:lang w:val="en-US"/>
        </w:rPr>
        <w:t xml:space="preserve"> fraction</w:t>
      </w:r>
      <w:r>
        <w:rPr>
          <w:lang w:val="en-US"/>
        </w:rPr>
        <w:t xml:space="preserve">. Coops do </w:t>
      </w:r>
      <w:r w:rsidR="00D53E6A">
        <w:rPr>
          <w:lang w:val="en-US"/>
        </w:rPr>
        <w:t xml:space="preserve">not </w:t>
      </w:r>
      <w:r>
        <w:rPr>
          <w:lang w:val="en-US"/>
        </w:rPr>
        <w:t>seem to contribut</w:t>
      </w:r>
      <w:r w:rsidR="00D53E6A">
        <w:rPr>
          <w:lang w:val="en-US"/>
        </w:rPr>
        <w:t>e</w:t>
      </w:r>
      <w:r>
        <w:rPr>
          <w:lang w:val="en-US"/>
        </w:rPr>
        <w:t xml:space="preserve"> to </w:t>
      </w:r>
      <w:r w:rsidR="00D53E6A">
        <w:rPr>
          <w:lang w:val="en-US"/>
        </w:rPr>
        <w:t>inflate</w:t>
      </w:r>
      <w:r>
        <w:rPr>
          <w:lang w:val="en-US"/>
        </w:rPr>
        <w:t xml:space="preserve"> neither the hiring nor the separation rate</w:t>
      </w:r>
      <w:r w:rsidR="00D53E6A">
        <w:rPr>
          <w:lang w:val="en-US"/>
        </w:rPr>
        <w:t>s</w:t>
      </w:r>
      <w:r>
        <w:rPr>
          <w:lang w:val="en-US"/>
        </w:rPr>
        <w:t xml:space="preserve"> of young workers.</w:t>
      </w:r>
    </w:p>
    <w:p w:rsidR="00D53E6A" w:rsidRDefault="00D53E6A" w:rsidP="005C0D39">
      <w:pPr>
        <w:spacing w:line="360" w:lineRule="auto"/>
        <w:rPr>
          <w:lang w:val="en-US"/>
        </w:rPr>
      </w:pPr>
    </w:p>
    <w:p w:rsidR="005C0D39" w:rsidRDefault="005C0D39" w:rsidP="005C0D39">
      <w:pPr>
        <w:spacing w:line="360" w:lineRule="auto"/>
        <w:rPr>
          <w:lang w:val="en-US"/>
        </w:rPr>
      </w:pPr>
      <w:r>
        <w:rPr>
          <w:lang w:val="en-US"/>
        </w:rPr>
        <w:t xml:space="preserve">Figure 4: Share of </w:t>
      </w:r>
      <w:proofErr w:type="spellStart"/>
      <w:r>
        <w:rPr>
          <w:lang w:val="en-US"/>
        </w:rPr>
        <w:t>hirings</w:t>
      </w:r>
      <w:proofErr w:type="spellEnd"/>
      <w:r>
        <w:rPr>
          <w:lang w:val="en-US"/>
        </w:rPr>
        <w:t xml:space="preserve"> in temporary contracts by age group, 1996-2010</w:t>
      </w:r>
    </w:p>
    <w:p w:rsidR="005C0D39" w:rsidRDefault="005C0D39" w:rsidP="005C0D39">
      <w:pPr>
        <w:spacing w:line="360" w:lineRule="auto"/>
        <w:rPr>
          <w:lang w:val="en-US"/>
        </w:rPr>
      </w:pPr>
      <w:r>
        <w:rPr>
          <w:noProof/>
        </w:rPr>
        <w:drawing>
          <wp:inline distT="0" distB="0" distL="0" distR="0">
            <wp:extent cx="5470498" cy="3416496"/>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77243" cy="3420709"/>
                    </a:xfrm>
                    <a:prstGeom prst="rect">
                      <a:avLst/>
                    </a:prstGeom>
                    <a:noFill/>
                  </pic:spPr>
                </pic:pic>
              </a:graphicData>
            </a:graphic>
          </wp:inline>
        </w:drawing>
      </w:r>
    </w:p>
    <w:p w:rsidR="005C0D39" w:rsidRDefault="005C0D39" w:rsidP="005C0D39">
      <w:pPr>
        <w:spacing w:after="120" w:line="360" w:lineRule="auto"/>
        <w:rPr>
          <w:lang w:val="en-US"/>
        </w:rPr>
      </w:pPr>
      <w:r w:rsidRPr="0017714C">
        <w:rPr>
          <w:sz w:val="16"/>
          <w:szCs w:val="16"/>
          <w:lang w:val="en-US"/>
        </w:rPr>
        <w:t>Source: Authors’ calculations based on RAIS</w:t>
      </w:r>
      <w:r>
        <w:rPr>
          <w:sz w:val="16"/>
          <w:szCs w:val="16"/>
          <w:lang w:val="en-US"/>
        </w:rPr>
        <w:t>/MTE data</w:t>
      </w:r>
      <w:r w:rsidRPr="0017714C">
        <w:rPr>
          <w:sz w:val="16"/>
          <w:szCs w:val="16"/>
          <w:lang w:val="en-US"/>
        </w:rPr>
        <w:t>.</w:t>
      </w:r>
    </w:p>
    <w:p w:rsidR="00417EAD" w:rsidRDefault="00417EAD" w:rsidP="00417EAD">
      <w:pPr>
        <w:spacing w:line="360" w:lineRule="auto"/>
        <w:rPr>
          <w:lang w:val="en-US"/>
        </w:rPr>
      </w:pPr>
      <w:r>
        <w:rPr>
          <w:lang w:val="en-US"/>
        </w:rPr>
        <w:lastRenderedPageBreak/>
        <w:t xml:space="preserve">In summary, the evidence presented in this section shows that the pattern of </w:t>
      </w:r>
      <w:proofErr w:type="spellStart"/>
      <w:r>
        <w:rPr>
          <w:lang w:val="en-US"/>
        </w:rPr>
        <w:t>hiring</w:t>
      </w:r>
      <w:r w:rsidR="00D53E6A">
        <w:rPr>
          <w:lang w:val="en-US"/>
        </w:rPr>
        <w:t>s</w:t>
      </w:r>
      <w:proofErr w:type="spellEnd"/>
      <w:r w:rsidR="00D53E6A">
        <w:rPr>
          <w:lang w:val="en-US"/>
        </w:rPr>
        <w:t xml:space="preserve"> of young workers either in temporary contracts or cooperatives</w:t>
      </w:r>
      <w:r>
        <w:rPr>
          <w:lang w:val="en-US"/>
        </w:rPr>
        <w:t xml:space="preserve"> does not seem to be responsible for the relative higher separation rate observed for this group. Further investigation seems necessary to check whether this connection from higher hiring to higher separation in fact exists and, if so, how it operates, especially for young workers.</w:t>
      </w:r>
      <w:r w:rsidR="00D53E6A">
        <w:rPr>
          <w:lang w:val="en-US"/>
        </w:rPr>
        <w:t xml:space="preserve"> We focus on separation rates themselves in the next section.</w:t>
      </w:r>
    </w:p>
    <w:p w:rsidR="00417EAD" w:rsidRDefault="00417EAD" w:rsidP="005C0D39">
      <w:pPr>
        <w:spacing w:after="120" w:line="360" w:lineRule="auto"/>
        <w:rPr>
          <w:lang w:val="en-US"/>
        </w:rPr>
      </w:pPr>
    </w:p>
    <w:p w:rsidR="005C0D39" w:rsidRDefault="005C0D39" w:rsidP="005C0D39">
      <w:pPr>
        <w:spacing w:after="120" w:line="360" w:lineRule="auto"/>
        <w:rPr>
          <w:lang w:val="en-US"/>
        </w:rPr>
      </w:pPr>
      <w:r>
        <w:rPr>
          <w:lang w:val="en-US"/>
        </w:rPr>
        <w:t xml:space="preserve">Figure </w:t>
      </w:r>
      <w:r w:rsidR="00DE64A4">
        <w:rPr>
          <w:lang w:val="en-US"/>
        </w:rPr>
        <w:t>5</w:t>
      </w:r>
      <w:r>
        <w:rPr>
          <w:lang w:val="en-US"/>
        </w:rPr>
        <w:t xml:space="preserve">: Share of </w:t>
      </w:r>
      <w:proofErr w:type="spellStart"/>
      <w:r>
        <w:rPr>
          <w:lang w:val="en-US"/>
        </w:rPr>
        <w:t>hirings</w:t>
      </w:r>
      <w:proofErr w:type="spellEnd"/>
      <w:r>
        <w:rPr>
          <w:lang w:val="en-US"/>
        </w:rPr>
        <w:t xml:space="preserve"> by cooperatives by age group, 1996-2010</w:t>
      </w:r>
    </w:p>
    <w:p w:rsidR="005C0D39" w:rsidRDefault="005C0D39" w:rsidP="005C0D39">
      <w:pPr>
        <w:spacing w:line="360" w:lineRule="auto"/>
        <w:rPr>
          <w:lang w:val="en-US"/>
        </w:rPr>
      </w:pPr>
      <w:r>
        <w:rPr>
          <w:noProof/>
        </w:rPr>
        <w:drawing>
          <wp:inline distT="0" distB="0" distL="0" distR="0">
            <wp:extent cx="5436411" cy="3395207"/>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43117" cy="3399395"/>
                    </a:xfrm>
                    <a:prstGeom prst="rect">
                      <a:avLst/>
                    </a:prstGeom>
                    <a:noFill/>
                  </pic:spPr>
                </pic:pic>
              </a:graphicData>
            </a:graphic>
          </wp:inline>
        </w:drawing>
      </w:r>
    </w:p>
    <w:p w:rsidR="005C0D39" w:rsidRDefault="005C0D39" w:rsidP="005C0D39">
      <w:pPr>
        <w:spacing w:line="360" w:lineRule="auto"/>
        <w:ind w:firstLine="708"/>
        <w:rPr>
          <w:sz w:val="16"/>
          <w:szCs w:val="16"/>
          <w:lang w:val="en-US"/>
        </w:rPr>
      </w:pPr>
      <w:r w:rsidRPr="0017714C">
        <w:rPr>
          <w:sz w:val="16"/>
          <w:szCs w:val="16"/>
          <w:lang w:val="en-US"/>
        </w:rPr>
        <w:t>Source: Authors’ calculations based on RAIS</w:t>
      </w:r>
      <w:r>
        <w:rPr>
          <w:sz w:val="16"/>
          <w:szCs w:val="16"/>
          <w:lang w:val="en-US"/>
        </w:rPr>
        <w:t>/MTE data</w:t>
      </w:r>
      <w:r w:rsidRPr="0017714C">
        <w:rPr>
          <w:sz w:val="16"/>
          <w:szCs w:val="16"/>
          <w:lang w:val="en-US"/>
        </w:rPr>
        <w:t>.</w:t>
      </w:r>
    </w:p>
    <w:p w:rsidR="00D53E6A" w:rsidRDefault="00D53E6A" w:rsidP="005C0D39">
      <w:pPr>
        <w:spacing w:line="360" w:lineRule="auto"/>
        <w:ind w:firstLine="708"/>
        <w:rPr>
          <w:lang w:val="en-US"/>
        </w:rPr>
      </w:pPr>
    </w:p>
    <w:p w:rsidR="00AF4511" w:rsidRDefault="00AF4511" w:rsidP="00AF4511">
      <w:pPr>
        <w:spacing w:line="360" w:lineRule="auto"/>
        <w:rPr>
          <w:b/>
          <w:lang w:val="en-US"/>
        </w:rPr>
      </w:pPr>
      <w:r w:rsidRPr="00EB3FBF">
        <w:rPr>
          <w:b/>
          <w:lang w:val="en-US"/>
        </w:rPr>
        <w:t xml:space="preserve">5. </w:t>
      </w:r>
      <w:r>
        <w:rPr>
          <w:b/>
          <w:lang w:val="en-US"/>
        </w:rPr>
        <w:t xml:space="preserve">Looking </w:t>
      </w:r>
      <w:r w:rsidR="008C3983">
        <w:rPr>
          <w:b/>
          <w:lang w:val="en-US"/>
        </w:rPr>
        <w:t>for</w:t>
      </w:r>
      <w:r>
        <w:rPr>
          <w:b/>
          <w:lang w:val="en-US"/>
        </w:rPr>
        <w:t xml:space="preserve"> the determinants of higher separation rates for youths</w:t>
      </w:r>
    </w:p>
    <w:p w:rsidR="00AF4511" w:rsidRDefault="00AF4511" w:rsidP="00AF4511">
      <w:pPr>
        <w:spacing w:line="360" w:lineRule="auto"/>
        <w:rPr>
          <w:lang w:val="en-US"/>
        </w:rPr>
      </w:pPr>
      <w:r w:rsidRPr="00185091">
        <w:rPr>
          <w:lang w:val="en-US"/>
        </w:rPr>
        <w:t>In this s</w:t>
      </w:r>
      <w:r>
        <w:rPr>
          <w:lang w:val="en-US"/>
        </w:rPr>
        <w:t xml:space="preserve">ection, we look deeper at the separation rate for young workers. Our data allow us to investigate </w:t>
      </w:r>
      <w:r w:rsidR="00357564">
        <w:rPr>
          <w:lang w:val="en-US"/>
        </w:rPr>
        <w:t xml:space="preserve">three </w:t>
      </w:r>
      <w:r>
        <w:rPr>
          <w:lang w:val="en-US"/>
        </w:rPr>
        <w:t xml:space="preserve">important dimensions of separations. First, </w:t>
      </w:r>
      <w:r w:rsidR="00357564">
        <w:rPr>
          <w:lang w:val="en-US"/>
        </w:rPr>
        <w:t xml:space="preserve">we distinguish between </w:t>
      </w:r>
      <w:r w:rsidR="00902D5F">
        <w:rPr>
          <w:lang w:val="en-US"/>
        </w:rPr>
        <w:t xml:space="preserve">what we call </w:t>
      </w:r>
      <w:r w:rsidR="00357564">
        <w:rPr>
          <w:lang w:val="en-US"/>
        </w:rPr>
        <w:t xml:space="preserve">permanent and </w:t>
      </w:r>
      <w:r w:rsidR="00AB1191">
        <w:rPr>
          <w:lang w:val="en-US"/>
        </w:rPr>
        <w:t xml:space="preserve">transitory </w:t>
      </w:r>
      <w:r w:rsidR="00357564">
        <w:rPr>
          <w:lang w:val="en-US"/>
        </w:rPr>
        <w:t>separation</w:t>
      </w:r>
      <w:r w:rsidR="008C3983">
        <w:rPr>
          <w:lang w:val="en-US"/>
        </w:rPr>
        <w:t>s</w:t>
      </w:r>
      <w:r w:rsidR="00357564">
        <w:rPr>
          <w:lang w:val="en-US"/>
        </w:rPr>
        <w:t xml:space="preserve">. Second, </w:t>
      </w:r>
      <w:r>
        <w:rPr>
          <w:lang w:val="en-US"/>
        </w:rPr>
        <w:t xml:space="preserve">we see whether separations are relatively more motivated by one of three reasons: the voluntary decision of the worker to quit the job, the decision of employers to lay-off the worker, or the simple expiration of a temporary contract. </w:t>
      </w:r>
      <w:r w:rsidR="00357564">
        <w:rPr>
          <w:lang w:val="en-US"/>
        </w:rPr>
        <w:t>Third</w:t>
      </w:r>
      <w:r>
        <w:rPr>
          <w:lang w:val="en-US"/>
        </w:rPr>
        <w:t xml:space="preserve">, we try to look at whether separations of young workers from their jobs result in </w:t>
      </w:r>
      <w:proofErr w:type="gramStart"/>
      <w:r w:rsidR="008C3983">
        <w:rPr>
          <w:lang w:val="en-US"/>
        </w:rPr>
        <w:t>a job</w:t>
      </w:r>
      <w:proofErr w:type="gramEnd"/>
      <w:r>
        <w:rPr>
          <w:lang w:val="en-US"/>
        </w:rPr>
        <w:t xml:space="preserve"> destruction or the substitution of the young worker </w:t>
      </w:r>
      <w:r w:rsidR="008C3983">
        <w:rPr>
          <w:lang w:val="en-US"/>
        </w:rPr>
        <w:t xml:space="preserve">for </w:t>
      </w:r>
      <w:r>
        <w:rPr>
          <w:lang w:val="en-US"/>
        </w:rPr>
        <w:t>an adult or another young w</w:t>
      </w:r>
      <w:r w:rsidR="00357564">
        <w:rPr>
          <w:lang w:val="en-US"/>
        </w:rPr>
        <w:t xml:space="preserve">orker. </w:t>
      </w:r>
    </w:p>
    <w:p w:rsidR="00AF4511" w:rsidRDefault="00AF4511" w:rsidP="00AF4511">
      <w:pPr>
        <w:spacing w:line="360" w:lineRule="auto"/>
        <w:rPr>
          <w:i/>
          <w:lang w:val="en-US"/>
        </w:rPr>
      </w:pPr>
      <w:r w:rsidRPr="009D7BE7">
        <w:rPr>
          <w:i/>
          <w:lang w:val="en-US"/>
        </w:rPr>
        <w:lastRenderedPageBreak/>
        <w:t>5.1. Permanent versus transitory separations</w:t>
      </w:r>
    </w:p>
    <w:p w:rsidR="00AF4511" w:rsidRDefault="00353563" w:rsidP="00AF4511">
      <w:pPr>
        <w:spacing w:line="360" w:lineRule="auto"/>
        <w:rPr>
          <w:lang w:val="en-US"/>
        </w:rPr>
      </w:pPr>
      <w:r>
        <w:rPr>
          <w:lang w:val="en-US"/>
        </w:rPr>
        <w:t>Our first distinction</w:t>
      </w:r>
      <w:r w:rsidR="00AF4511">
        <w:rPr>
          <w:lang w:val="en-US"/>
        </w:rPr>
        <w:t xml:space="preserve"> </w:t>
      </w:r>
      <w:r>
        <w:rPr>
          <w:lang w:val="en-US"/>
        </w:rPr>
        <w:t xml:space="preserve">is between </w:t>
      </w:r>
      <w:r w:rsidR="00AF4511">
        <w:rPr>
          <w:lang w:val="en-US"/>
        </w:rPr>
        <w:t xml:space="preserve">permanent and </w:t>
      </w:r>
      <w:r w:rsidR="00AB1191">
        <w:rPr>
          <w:lang w:val="en-US"/>
        </w:rPr>
        <w:t xml:space="preserve">transitory </w:t>
      </w:r>
      <w:r w:rsidR="00AF4511">
        <w:rPr>
          <w:lang w:val="en-US"/>
        </w:rPr>
        <w:t xml:space="preserve">separations. </w:t>
      </w:r>
      <w:r w:rsidR="008C3983">
        <w:rPr>
          <w:lang w:val="en-US"/>
        </w:rPr>
        <w:t>It</w:t>
      </w:r>
      <w:r w:rsidR="00AF4511">
        <w:rPr>
          <w:lang w:val="en-US"/>
        </w:rPr>
        <w:t xml:space="preserve"> is argued that </w:t>
      </w:r>
      <w:r w:rsidR="008C3983">
        <w:rPr>
          <w:lang w:val="en-US"/>
        </w:rPr>
        <w:t xml:space="preserve">the </w:t>
      </w:r>
      <w:r w:rsidR="00AF4511">
        <w:rPr>
          <w:lang w:val="en-US"/>
        </w:rPr>
        <w:t>Brazilian labor legislation induces fak</w:t>
      </w:r>
      <w:r w:rsidR="008C3983">
        <w:rPr>
          <w:lang w:val="en-US"/>
        </w:rPr>
        <w:t>e</w:t>
      </w:r>
      <w:r w:rsidR="00AF4511">
        <w:rPr>
          <w:lang w:val="en-US"/>
        </w:rPr>
        <w:t xml:space="preserve"> lay-offs.</w:t>
      </w:r>
      <w:r w:rsidR="00AF4511">
        <w:rPr>
          <w:rStyle w:val="Refdenotaderodap"/>
          <w:lang w:val="en-US"/>
        </w:rPr>
        <w:footnoteReference w:id="13"/>
      </w:r>
      <w:r w:rsidR="00AF4511">
        <w:rPr>
          <w:lang w:val="en-US"/>
        </w:rPr>
        <w:t xml:space="preserve"> </w:t>
      </w:r>
      <w:r w:rsidR="008C3983">
        <w:rPr>
          <w:lang w:val="en-US"/>
        </w:rPr>
        <w:t>When this happens, data</w:t>
      </w:r>
      <w:r w:rsidR="00AF4511">
        <w:rPr>
          <w:lang w:val="en-US"/>
        </w:rPr>
        <w:t xml:space="preserve"> register a hiring and a separation of the same worker by the same firm within a certain period of time. In order to minimize the effect of this “double” counting, we define the permanent separation rate for age group </w:t>
      </w:r>
      <w:r w:rsidR="00AF4511" w:rsidRPr="00187EEC">
        <w:rPr>
          <w:i/>
          <w:lang w:val="en-US"/>
        </w:rPr>
        <w:t>a</w:t>
      </w:r>
      <w:r w:rsidR="00AF4511">
        <w:rPr>
          <w:lang w:val="en-US"/>
        </w:rPr>
        <w:t xml:space="preserve"> as: </w:t>
      </w:r>
      <w:r w:rsidR="00AF4511" w:rsidRPr="0074417A">
        <w:rPr>
          <w:lang w:val="en-US"/>
        </w:rPr>
        <w:t>S</w:t>
      </w:r>
      <w:r w:rsidR="00AF4511" w:rsidRPr="0074417A">
        <w:rPr>
          <w:vertAlign w:val="superscript"/>
          <w:lang w:val="en-US"/>
        </w:rPr>
        <w:t>p</w:t>
      </w:r>
      <w:r w:rsidR="00AF4511" w:rsidRPr="0074417A">
        <w:rPr>
          <w:vertAlign w:val="subscript"/>
          <w:lang w:val="en-US"/>
        </w:rPr>
        <w:t>at</w:t>
      </w:r>
      <w:r w:rsidR="00AF4511" w:rsidRPr="0074417A">
        <w:rPr>
          <w:lang w:val="en-US"/>
        </w:rPr>
        <w:t>=</w:t>
      </w:r>
      <w:proofErr w:type="spellStart"/>
      <w:r w:rsidR="00AF4511">
        <w:rPr>
          <w:lang w:val="en-US"/>
        </w:rPr>
        <w:t>Σ</w:t>
      </w:r>
      <w:r w:rsidR="00AF4511" w:rsidRPr="0074417A">
        <w:rPr>
          <w:vertAlign w:val="subscript"/>
          <w:lang w:val="en-US"/>
        </w:rPr>
        <w:t>i</w:t>
      </w:r>
      <w:r w:rsidR="00AF4511" w:rsidRPr="0074417A">
        <w:rPr>
          <w:lang w:val="en-US"/>
        </w:rPr>
        <w:t>s</w:t>
      </w:r>
      <w:r w:rsidR="00AF4511" w:rsidRPr="0074417A">
        <w:rPr>
          <w:vertAlign w:val="superscript"/>
          <w:lang w:val="en-US"/>
        </w:rPr>
        <w:t>p</w:t>
      </w:r>
      <w:r w:rsidR="00AF4511" w:rsidRPr="0074417A">
        <w:rPr>
          <w:vertAlign w:val="subscript"/>
          <w:lang w:val="en-US"/>
        </w:rPr>
        <w:t>it</w:t>
      </w:r>
      <w:proofErr w:type="spellEnd"/>
      <w:r w:rsidR="00AF4511" w:rsidRPr="0074417A">
        <w:rPr>
          <w:lang w:val="en-US"/>
        </w:rPr>
        <w:t>/</w:t>
      </w:r>
      <w:proofErr w:type="spellStart"/>
      <w:r w:rsidR="00AF4511" w:rsidRPr="0074417A">
        <w:rPr>
          <w:lang w:val="en-US"/>
        </w:rPr>
        <w:t>X</w:t>
      </w:r>
      <w:r w:rsidR="00AF4511" w:rsidRPr="0074417A">
        <w:rPr>
          <w:vertAlign w:val="subscript"/>
          <w:lang w:val="en-US"/>
        </w:rPr>
        <w:t>at</w:t>
      </w:r>
      <w:proofErr w:type="spellEnd"/>
      <w:r w:rsidR="00AF4511">
        <w:rPr>
          <w:lang w:val="en-US"/>
        </w:rPr>
        <w:t xml:space="preserve">, where </w:t>
      </w:r>
      <w:r w:rsidR="00AF4511" w:rsidRPr="0074417A">
        <w:rPr>
          <w:lang w:val="en-US"/>
        </w:rPr>
        <w:t>s</w:t>
      </w:r>
      <w:r w:rsidR="00AF4511" w:rsidRPr="0074417A">
        <w:rPr>
          <w:vertAlign w:val="superscript"/>
          <w:lang w:val="en-US"/>
        </w:rPr>
        <w:t>p</w:t>
      </w:r>
      <w:r w:rsidR="00AF4511" w:rsidRPr="0074417A">
        <w:rPr>
          <w:vertAlign w:val="subscript"/>
          <w:lang w:val="en-US"/>
        </w:rPr>
        <w:t>it</w:t>
      </w:r>
      <w:r w:rsidR="00AF4511">
        <w:rPr>
          <w:lang w:val="en-US"/>
        </w:rPr>
        <w:t xml:space="preserve"> is the number o</w:t>
      </w:r>
      <w:r w:rsidR="008C3983">
        <w:rPr>
          <w:lang w:val="en-US"/>
        </w:rPr>
        <w:t xml:space="preserve">f separations that </w:t>
      </w:r>
      <w:r w:rsidR="00AF4511">
        <w:rPr>
          <w:lang w:val="en-US"/>
        </w:rPr>
        <w:t xml:space="preserve">were not reverted at firm </w:t>
      </w:r>
      <w:r w:rsidR="00AF4511" w:rsidRPr="00ED0A2F">
        <w:rPr>
          <w:i/>
          <w:lang w:val="en-US"/>
        </w:rPr>
        <w:t>i</w:t>
      </w:r>
      <w:r w:rsidR="00AF4511">
        <w:rPr>
          <w:lang w:val="en-US"/>
        </w:rPr>
        <w:t xml:space="preserve"> during year </w:t>
      </w:r>
      <w:r w:rsidR="00AF4511" w:rsidRPr="00ED0A2F">
        <w:rPr>
          <w:i/>
          <w:lang w:val="en-US"/>
        </w:rPr>
        <w:t>t</w:t>
      </w:r>
      <w:r w:rsidR="00AF4511">
        <w:rPr>
          <w:lang w:val="en-US"/>
        </w:rPr>
        <w:t xml:space="preserve">. The transitory separation rate can then be defined as: </w:t>
      </w:r>
      <w:r w:rsidR="00AF4511" w:rsidRPr="0074417A">
        <w:rPr>
          <w:lang w:val="en-US"/>
        </w:rPr>
        <w:t>S</w:t>
      </w:r>
      <w:r w:rsidR="00AF4511">
        <w:rPr>
          <w:vertAlign w:val="superscript"/>
          <w:lang w:val="en-US"/>
        </w:rPr>
        <w:t>t</w:t>
      </w:r>
      <w:r w:rsidR="00AF4511" w:rsidRPr="0074417A">
        <w:rPr>
          <w:vertAlign w:val="subscript"/>
          <w:lang w:val="en-US"/>
        </w:rPr>
        <w:t>at</w:t>
      </w:r>
      <w:r w:rsidR="00AF4511" w:rsidRPr="0074417A">
        <w:rPr>
          <w:lang w:val="en-US"/>
        </w:rPr>
        <w:t>=</w:t>
      </w:r>
      <w:r w:rsidR="00AF4511">
        <w:rPr>
          <w:lang w:val="en-US"/>
        </w:rPr>
        <w:t>S</w:t>
      </w:r>
      <w:r w:rsidR="00AF4511" w:rsidRPr="0074417A">
        <w:rPr>
          <w:vertAlign w:val="subscript"/>
          <w:lang w:val="en-US"/>
        </w:rPr>
        <w:t>at</w:t>
      </w:r>
      <w:r w:rsidR="00AF4511">
        <w:rPr>
          <w:lang w:val="en-US"/>
        </w:rPr>
        <w:t>-</w:t>
      </w:r>
      <w:r w:rsidR="00AF4511" w:rsidRPr="00BC7E1C">
        <w:rPr>
          <w:lang w:val="en-US"/>
        </w:rPr>
        <w:t xml:space="preserve"> </w:t>
      </w:r>
      <w:r w:rsidR="00AF4511" w:rsidRPr="0074417A">
        <w:rPr>
          <w:lang w:val="en-US"/>
        </w:rPr>
        <w:t>S</w:t>
      </w:r>
      <w:r w:rsidR="00AF4511" w:rsidRPr="0074417A">
        <w:rPr>
          <w:vertAlign w:val="superscript"/>
          <w:lang w:val="en-US"/>
        </w:rPr>
        <w:t>p</w:t>
      </w:r>
      <w:r w:rsidR="00AF4511" w:rsidRPr="0074417A">
        <w:rPr>
          <w:vertAlign w:val="subscript"/>
          <w:lang w:val="en-US"/>
        </w:rPr>
        <w:t>at</w:t>
      </w:r>
      <w:r w:rsidR="00AF4511">
        <w:rPr>
          <w:lang w:val="en-US"/>
        </w:rPr>
        <w:t>, where S</w:t>
      </w:r>
      <w:r w:rsidR="00AF4511" w:rsidRPr="0074417A">
        <w:rPr>
          <w:vertAlign w:val="subscript"/>
          <w:lang w:val="en-US"/>
        </w:rPr>
        <w:t>at</w:t>
      </w:r>
      <w:r w:rsidR="00AF4511">
        <w:rPr>
          <w:lang w:val="en-US"/>
        </w:rPr>
        <w:t xml:space="preserve"> is the (gross) separation rate for age group </w:t>
      </w:r>
      <w:proofErr w:type="gramStart"/>
      <w:r w:rsidR="00AF4511" w:rsidRPr="00304C88">
        <w:rPr>
          <w:i/>
          <w:lang w:val="en-US"/>
        </w:rPr>
        <w:t>a</w:t>
      </w:r>
      <w:proofErr w:type="gramEnd"/>
      <w:r w:rsidR="00AF4511">
        <w:rPr>
          <w:lang w:val="en-US"/>
        </w:rPr>
        <w:t xml:space="preserve"> in year </w:t>
      </w:r>
      <w:r w:rsidR="00AF4511" w:rsidRPr="001F05C6">
        <w:rPr>
          <w:i/>
          <w:lang w:val="en-US"/>
        </w:rPr>
        <w:t>t</w:t>
      </w:r>
      <w:r w:rsidR="00AF4511">
        <w:rPr>
          <w:lang w:val="en-US"/>
        </w:rPr>
        <w:t>.</w:t>
      </w:r>
    </w:p>
    <w:p w:rsidR="00882901" w:rsidRDefault="00902D5F" w:rsidP="00AF4511">
      <w:pPr>
        <w:spacing w:line="360" w:lineRule="auto"/>
        <w:rPr>
          <w:lang w:val="en-US"/>
        </w:rPr>
      </w:pPr>
      <w:r>
        <w:rPr>
          <w:lang w:val="en-US"/>
        </w:rPr>
        <w:t>Figure 6</w:t>
      </w:r>
      <w:r w:rsidR="00882901">
        <w:rPr>
          <w:lang w:val="en-US"/>
        </w:rPr>
        <w:t>: Permanent and temporary separation rates by age group, 1996-2010.</w:t>
      </w:r>
    </w:p>
    <w:p w:rsidR="00882901" w:rsidRDefault="00CB5006" w:rsidP="00AF4511">
      <w:pPr>
        <w:spacing w:line="360" w:lineRule="auto"/>
        <w:rPr>
          <w:lang w:val="en-US"/>
        </w:rPr>
      </w:pPr>
      <w:r>
        <w:rPr>
          <w:noProof/>
        </w:rPr>
        <w:drawing>
          <wp:inline distT="0" distB="0" distL="0" distR="0">
            <wp:extent cx="5443268" cy="3394557"/>
            <wp:effectExtent l="0" t="0" r="508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45836" cy="3396158"/>
                    </a:xfrm>
                    <a:prstGeom prst="rect">
                      <a:avLst/>
                    </a:prstGeom>
                    <a:noFill/>
                  </pic:spPr>
                </pic:pic>
              </a:graphicData>
            </a:graphic>
          </wp:inline>
        </w:drawing>
      </w:r>
    </w:p>
    <w:p w:rsidR="00882901" w:rsidRPr="00C70305" w:rsidRDefault="00882901" w:rsidP="00882901">
      <w:pPr>
        <w:rPr>
          <w:sz w:val="20"/>
          <w:szCs w:val="20"/>
          <w:lang w:val="en-US"/>
        </w:rPr>
      </w:pPr>
      <w:r w:rsidRPr="00C70305">
        <w:rPr>
          <w:sz w:val="20"/>
          <w:szCs w:val="20"/>
          <w:lang w:val="en-US"/>
        </w:rPr>
        <w:t xml:space="preserve">Source: </w:t>
      </w:r>
      <w:r>
        <w:rPr>
          <w:sz w:val="20"/>
          <w:szCs w:val="20"/>
          <w:lang w:val="en-US"/>
        </w:rPr>
        <w:t>A</w:t>
      </w:r>
      <w:r w:rsidRPr="00C70305">
        <w:rPr>
          <w:sz w:val="20"/>
          <w:szCs w:val="20"/>
          <w:lang w:val="en-US"/>
        </w:rPr>
        <w:t>uthors’ estimates based on RAIS/MTE data.</w:t>
      </w:r>
    </w:p>
    <w:p w:rsidR="00902D5F" w:rsidRDefault="00902D5F" w:rsidP="00AF4511">
      <w:pPr>
        <w:spacing w:line="360" w:lineRule="auto"/>
        <w:rPr>
          <w:lang w:val="en-US"/>
        </w:rPr>
      </w:pPr>
    </w:p>
    <w:p w:rsidR="008C3983" w:rsidRDefault="008C3983" w:rsidP="008C3983">
      <w:pPr>
        <w:spacing w:line="360" w:lineRule="auto"/>
        <w:rPr>
          <w:lang w:val="en-US"/>
        </w:rPr>
      </w:pPr>
      <w:r>
        <w:rPr>
          <w:lang w:val="en-US"/>
        </w:rPr>
        <w:t xml:space="preserve">Figure 6 displays the figures for the two types of separations for youths and adults. As it can be seen, both rates are higher for the younger group but the permanent rate is relatively higher for adults (it represents on average almost 3/5 of all separations) than for youths (account for around half of all separations on average). While transitory </w:t>
      </w:r>
      <w:r>
        <w:rPr>
          <w:lang w:val="en-US"/>
        </w:rPr>
        <w:lastRenderedPageBreak/>
        <w:t>separations do increase turnover rates, the sheer magnitude of permanent separations rates of about 34% (always larger than 30%) confirm the volatile attachment of younger workers, compared to older workers. Permanent separations for adult workers are lower, at about 24% and never higher than 28%.</w:t>
      </w:r>
    </w:p>
    <w:p w:rsidR="00902D5F" w:rsidRDefault="00902D5F" w:rsidP="00AF4511">
      <w:pPr>
        <w:spacing w:line="360" w:lineRule="auto"/>
        <w:rPr>
          <w:lang w:val="en-US"/>
        </w:rPr>
      </w:pPr>
      <w:r>
        <w:rPr>
          <w:lang w:val="en-US"/>
        </w:rPr>
        <w:t>In order to analyze in a more structural fashion the differences in separations between our groups of interest, the rest of this section will be based on the measure of permanent separation.</w:t>
      </w:r>
    </w:p>
    <w:p w:rsidR="00F64781" w:rsidRDefault="00F64781" w:rsidP="00AF4511">
      <w:pPr>
        <w:spacing w:line="360" w:lineRule="auto"/>
        <w:rPr>
          <w:lang w:val="en-US"/>
        </w:rPr>
      </w:pPr>
    </w:p>
    <w:p w:rsidR="00AF4511" w:rsidRDefault="00AF4511" w:rsidP="00AF4511">
      <w:pPr>
        <w:spacing w:line="360" w:lineRule="auto"/>
        <w:rPr>
          <w:lang w:val="en-US"/>
        </w:rPr>
      </w:pPr>
      <w:r>
        <w:rPr>
          <w:i/>
          <w:lang w:val="en-US"/>
        </w:rPr>
        <w:t>5.2. Quits versus layoffs</w:t>
      </w:r>
    </w:p>
    <w:p w:rsidR="00AF4511" w:rsidRDefault="00AF4511" w:rsidP="00AF4511">
      <w:pPr>
        <w:spacing w:line="360" w:lineRule="auto"/>
        <w:rPr>
          <w:lang w:val="en-US"/>
        </w:rPr>
      </w:pPr>
      <w:proofErr w:type="gramStart"/>
      <w:r>
        <w:rPr>
          <w:lang w:val="en-US"/>
        </w:rPr>
        <w:t xml:space="preserve">Figure </w:t>
      </w:r>
      <w:r w:rsidR="00902D5F">
        <w:rPr>
          <w:lang w:val="en-US"/>
        </w:rPr>
        <w:t>7</w:t>
      </w:r>
      <w:r>
        <w:rPr>
          <w:lang w:val="en-US"/>
        </w:rPr>
        <w:t xml:space="preserve"> shows that lay-offs are the most important reason for separations for both age groups.</w:t>
      </w:r>
      <w:proofErr w:type="gramEnd"/>
      <w:r>
        <w:rPr>
          <w:lang w:val="en-US"/>
        </w:rPr>
        <w:t xml:space="preserve"> The Figure also shows that, though they have lost some importance over time for both groups,</w:t>
      </w:r>
      <w:r w:rsidR="001F05C6">
        <w:rPr>
          <w:lang w:val="en-US"/>
        </w:rPr>
        <w:t xml:space="preserve"> lay-offs </w:t>
      </w:r>
      <w:r>
        <w:rPr>
          <w:lang w:val="en-US"/>
        </w:rPr>
        <w:t xml:space="preserve">are more relevant as a cause of separation for adults than for young workers. In fact, this difference has doubled over the years, rising from 6 p.p. in 1996 to 12 p.p. in 2010. The decline in the share of lay-offs was initially compensated by an increase in the contribution of expiration of temporary contracts but towards the end of the period there was a rise in the share of voluntary quits. It is worth observing that the </w:t>
      </w:r>
      <w:r w:rsidR="001F05C6">
        <w:rPr>
          <w:lang w:val="en-US"/>
        </w:rPr>
        <w:t xml:space="preserve">termination </w:t>
      </w:r>
      <w:r>
        <w:rPr>
          <w:lang w:val="en-US"/>
        </w:rPr>
        <w:t>of temporary contracts and quits are more relevant for youths than for adults and these differences have increased over time between the groups.</w:t>
      </w:r>
    </w:p>
    <w:p w:rsidR="008C3983" w:rsidRDefault="00AF4511" w:rsidP="00AF4511">
      <w:pPr>
        <w:spacing w:line="360" w:lineRule="auto"/>
        <w:rPr>
          <w:lang w:val="en-US"/>
        </w:rPr>
      </w:pPr>
      <w:r>
        <w:rPr>
          <w:lang w:val="en-US"/>
        </w:rPr>
        <w:t>A set of factors can expla</w:t>
      </w:r>
      <w:r w:rsidR="00902D5F">
        <w:rPr>
          <w:lang w:val="en-US"/>
        </w:rPr>
        <w:t>in what we observe in Figure 7</w:t>
      </w:r>
      <w:r>
        <w:rPr>
          <w:lang w:val="en-US"/>
        </w:rPr>
        <w:t>. First, as temporary contracts are relatively more relevant as a means to hire youth labor (see Figure 4)</w:t>
      </w:r>
      <w:proofErr w:type="gramStart"/>
      <w:r>
        <w:rPr>
          <w:lang w:val="en-US"/>
        </w:rPr>
        <w:t>,</w:t>
      </w:r>
      <w:proofErr w:type="gramEnd"/>
      <w:r>
        <w:rPr>
          <w:lang w:val="en-US"/>
        </w:rPr>
        <w:t xml:space="preserve"> it is not surprising that separations due to the expiration of this type of contract are relatively more important for this group. Also, in the last two decades, labor legislation </w:t>
      </w:r>
      <w:r w:rsidR="008C3983">
        <w:rPr>
          <w:lang w:val="en-US"/>
        </w:rPr>
        <w:t>encouraged</w:t>
      </w:r>
      <w:r>
        <w:rPr>
          <w:lang w:val="en-US"/>
        </w:rPr>
        <w:t xml:space="preserve"> the use of more flexible forms of contracts (e.g. temporary jobs, part-time jobs, and temporary lay-offs) in many countries. This has not been different in Brazil, a fact that can explain the increase in this form of separation at least in the first part of our period of analysis.</w:t>
      </w:r>
    </w:p>
    <w:p w:rsidR="008C3983" w:rsidRDefault="008C3983">
      <w:pPr>
        <w:spacing w:before="0"/>
        <w:jc w:val="left"/>
        <w:rPr>
          <w:lang w:val="en-US"/>
        </w:rPr>
      </w:pPr>
      <w:r>
        <w:rPr>
          <w:lang w:val="en-US"/>
        </w:rPr>
        <w:br w:type="page"/>
      </w:r>
    </w:p>
    <w:p w:rsidR="00AF4511" w:rsidRDefault="00AF4511" w:rsidP="00AF4511">
      <w:pPr>
        <w:spacing w:line="360" w:lineRule="auto"/>
        <w:rPr>
          <w:lang w:val="en-US"/>
        </w:rPr>
      </w:pPr>
    </w:p>
    <w:p w:rsidR="00AF4511" w:rsidRPr="00621EB6" w:rsidRDefault="00AB1191" w:rsidP="00AF4511">
      <w:pPr>
        <w:rPr>
          <w:lang w:val="en-US"/>
        </w:rPr>
      </w:pPr>
      <w:r>
        <w:rPr>
          <w:lang w:val="en-US"/>
        </w:rPr>
        <w:t>Figure 7</w:t>
      </w:r>
      <w:r w:rsidR="00AF4511" w:rsidRPr="00621EB6">
        <w:rPr>
          <w:lang w:val="en-US"/>
        </w:rPr>
        <w:t>: Share of Separations by Proposer, 1996-2010</w:t>
      </w:r>
    </w:p>
    <w:p w:rsidR="00AF4511" w:rsidRDefault="00AF4511" w:rsidP="00AF4511">
      <w:pPr>
        <w:rPr>
          <w:lang w:val="en-US"/>
        </w:rPr>
      </w:pPr>
      <w:r>
        <w:rPr>
          <w:noProof/>
        </w:rPr>
        <w:drawing>
          <wp:inline distT="0" distB="0" distL="0" distR="0">
            <wp:extent cx="5444312" cy="3395207"/>
            <wp:effectExtent l="0" t="0" r="444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43798" cy="3394887"/>
                    </a:xfrm>
                    <a:prstGeom prst="rect">
                      <a:avLst/>
                    </a:prstGeom>
                    <a:noFill/>
                  </pic:spPr>
                </pic:pic>
              </a:graphicData>
            </a:graphic>
          </wp:inline>
        </w:drawing>
      </w:r>
    </w:p>
    <w:p w:rsidR="00AF4511" w:rsidRPr="00C70305" w:rsidRDefault="00AF4511" w:rsidP="00AF4511">
      <w:pPr>
        <w:rPr>
          <w:sz w:val="20"/>
          <w:szCs w:val="20"/>
          <w:lang w:val="en-US"/>
        </w:rPr>
      </w:pPr>
      <w:r w:rsidRPr="00C70305">
        <w:rPr>
          <w:sz w:val="20"/>
          <w:szCs w:val="20"/>
          <w:lang w:val="en-US"/>
        </w:rPr>
        <w:t xml:space="preserve">Source: </w:t>
      </w:r>
      <w:r>
        <w:rPr>
          <w:sz w:val="20"/>
          <w:szCs w:val="20"/>
          <w:lang w:val="en-US"/>
        </w:rPr>
        <w:t>A</w:t>
      </w:r>
      <w:r w:rsidRPr="00C70305">
        <w:rPr>
          <w:sz w:val="20"/>
          <w:szCs w:val="20"/>
          <w:lang w:val="en-US"/>
        </w:rPr>
        <w:t>uthors’ estimates based on RAIS/MTE data.</w:t>
      </w:r>
    </w:p>
    <w:p w:rsidR="00AF4511" w:rsidRDefault="00AF4511" w:rsidP="00AF4511">
      <w:pPr>
        <w:spacing w:line="360" w:lineRule="auto"/>
        <w:rPr>
          <w:lang w:val="en-US"/>
        </w:rPr>
      </w:pPr>
    </w:p>
    <w:p w:rsidR="00AF4511" w:rsidRDefault="00AF4511" w:rsidP="00AF4511">
      <w:pPr>
        <w:spacing w:line="360" w:lineRule="auto"/>
        <w:rPr>
          <w:lang w:val="en-US"/>
        </w:rPr>
      </w:pPr>
      <w:r>
        <w:rPr>
          <w:lang w:val="en-US"/>
        </w:rPr>
        <w:t xml:space="preserve">Another factor is associated with the labor supply behavior of youths, who tend to “shop” </w:t>
      </w:r>
      <w:r w:rsidR="008C3983">
        <w:rPr>
          <w:lang w:val="en-US"/>
        </w:rPr>
        <w:t xml:space="preserve">jobs around more </w:t>
      </w:r>
      <w:r>
        <w:rPr>
          <w:lang w:val="en-US"/>
        </w:rPr>
        <w:t>than adults. This can explain why quitting is more prevalent among the former group. In addition, as workers respond to the prevailing economic conditions, the supply side can also explain why we observe increases in the contribution of voluntary leaving for both types of workers in years of economic expansion. Firms may also have different sensitivities to dismissing adult and young workers over the economic cycle. We saw evidence of that in section 3, so at least part of the rise in the difference between the groups in the contribution of lay-offs may be attributed to the distinct response of firms to the last economic cycle in Brazil.</w:t>
      </w:r>
      <w:r>
        <w:rPr>
          <w:rStyle w:val="Refdenotaderodap"/>
          <w:lang w:val="en-US"/>
        </w:rPr>
        <w:footnoteReference w:id="14"/>
      </w:r>
    </w:p>
    <w:p w:rsidR="00AF4511" w:rsidRDefault="00AF4511" w:rsidP="00AF4511">
      <w:pPr>
        <w:spacing w:line="360" w:lineRule="auto"/>
        <w:rPr>
          <w:i/>
          <w:lang w:val="en-US"/>
        </w:rPr>
      </w:pPr>
      <w:r>
        <w:rPr>
          <w:i/>
          <w:lang w:val="en-US"/>
        </w:rPr>
        <w:t>5.3. Job destruction versus worker substitution</w:t>
      </w:r>
    </w:p>
    <w:p w:rsidR="00902D5F" w:rsidRDefault="00AB1191" w:rsidP="00902D5F">
      <w:pPr>
        <w:spacing w:line="360" w:lineRule="auto"/>
        <w:rPr>
          <w:lang w:val="en-US"/>
        </w:rPr>
      </w:pPr>
      <w:r>
        <w:rPr>
          <w:lang w:val="en-US"/>
        </w:rPr>
        <w:t>This subsection</w:t>
      </w:r>
      <w:r w:rsidR="00902D5F">
        <w:rPr>
          <w:lang w:val="en-US"/>
        </w:rPr>
        <w:t xml:space="preserve"> is based on </w:t>
      </w:r>
      <w:r w:rsidR="00867AD0">
        <w:rPr>
          <w:lang w:val="en-US"/>
        </w:rPr>
        <w:t>a</w:t>
      </w:r>
      <w:r w:rsidR="00902D5F">
        <w:rPr>
          <w:lang w:val="en-US"/>
        </w:rPr>
        <w:t xml:space="preserve"> </w:t>
      </w:r>
      <w:r w:rsidR="00867AD0">
        <w:rPr>
          <w:lang w:val="en-US"/>
        </w:rPr>
        <w:t>decomposition of separation rates</w:t>
      </w:r>
      <w:r>
        <w:rPr>
          <w:lang w:val="en-US"/>
        </w:rPr>
        <w:t>. First</w:t>
      </w:r>
      <w:r w:rsidR="00902D5F">
        <w:rPr>
          <w:lang w:val="en-US"/>
        </w:rPr>
        <w:t xml:space="preserve">, when a separation occurs it can ensue what we term </w:t>
      </w:r>
      <w:r w:rsidR="00902D5F" w:rsidRPr="00D461B7">
        <w:rPr>
          <w:i/>
          <w:lang w:val="en-US"/>
        </w:rPr>
        <w:t>effective job destruction</w:t>
      </w:r>
      <w:r w:rsidR="00867AD0">
        <w:rPr>
          <w:lang w:val="en-US"/>
        </w:rPr>
        <w:t xml:space="preserve">, when the firm terminates </w:t>
      </w:r>
      <w:r w:rsidR="00867AD0">
        <w:rPr>
          <w:lang w:val="en-US"/>
        </w:rPr>
        <w:lastRenderedPageBreak/>
        <w:t>position</w:t>
      </w:r>
      <w:r>
        <w:rPr>
          <w:lang w:val="en-US"/>
        </w:rPr>
        <w:t>. Second</w:t>
      </w:r>
      <w:r w:rsidR="00902D5F">
        <w:rPr>
          <w:lang w:val="en-US"/>
        </w:rPr>
        <w:t xml:space="preserve">, when a substitution </w:t>
      </w:r>
      <w:r w:rsidR="00867AD0">
        <w:rPr>
          <w:lang w:val="en-US"/>
        </w:rPr>
        <w:t xml:space="preserve">does </w:t>
      </w:r>
      <w:r w:rsidR="00902D5F">
        <w:rPr>
          <w:lang w:val="en-US"/>
        </w:rPr>
        <w:t>take place, the worker can be replaced by another worker of same age (</w:t>
      </w:r>
      <w:r w:rsidR="00902D5F" w:rsidRPr="00A47657">
        <w:rPr>
          <w:i/>
          <w:lang w:val="en-US"/>
        </w:rPr>
        <w:t>within</w:t>
      </w:r>
      <w:r w:rsidR="00902D5F">
        <w:rPr>
          <w:lang w:val="en-US"/>
        </w:rPr>
        <w:t xml:space="preserve"> substitution) or by a worker from a different age group (</w:t>
      </w:r>
      <w:r w:rsidR="00902D5F" w:rsidRPr="00E1388A">
        <w:rPr>
          <w:i/>
          <w:lang w:val="en-US"/>
        </w:rPr>
        <w:t>between</w:t>
      </w:r>
      <w:r w:rsidR="00902D5F">
        <w:rPr>
          <w:lang w:val="en-US"/>
        </w:rPr>
        <w:t xml:space="preserve"> substitution). </w:t>
      </w:r>
      <w:r w:rsidR="00867AD0">
        <w:rPr>
          <w:lang w:val="en-US"/>
        </w:rPr>
        <w:t>W</w:t>
      </w:r>
      <w:r w:rsidR="00902D5F">
        <w:rPr>
          <w:lang w:val="en-US"/>
        </w:rPr>
        <w:t>e will decompose the separation rate in these three categories.</w:t>
      </w:r>
    </w:p>
    <w:p w:rsidR="00902D5F" w:rsidRDefault="00902D5F" w:rsidP="00902D5F">
      <w:pPr>
        <w:spacing w:line="360" w:lineRule="auto"/>
        <w:rPr>
          <w:lang w:val="en-US"/>
        </w:rPr>
      </w:pPr>
      <w:r>
        <w:rPr>
          <w:lang w:val="en-US"/>
        </w:rPr>
        <w:t xml:space="preserve">Let </w:t>
      </w:r>
      <w:proofErr w:type="spellStart"/>
      <w:r w:rsidRPr="000819A6">
        <w:rPr>
          <w:i/>
          <w:lang w:val="en-US"/>
        </w:rPr>
        <w:t>JD</w:t>
      </w:r>
      <w:r w:rsidRPr="000819A6">
        <w:rPr>
          <w:i/>
          <w:vertAlign w:val="subscript"/>
          <w:lang w:val="en-US"/>
        </w:rPr>
        <w:t>at</w:t>
      </w:r>
      <w:proofErr w:type="spellEnd"/>
      <w:r w:rsidRPr="000819A6">
        <w:rPr>
          <w:i/>
          <w:lang w:val="en-US"/>
        </w:rPr>
        <w:t xml:space="preserve">= </w:t>
      </w:r>
      <w:r w:rsidRPr="000819A6">
        <w:rPr>
          <w:rFonts w:ascii="Symbol" w:hAnsi="Symbol"/>
          <w:i/>
          <w:sz w:val="28"/>
        </w:rPr>
        <w:t></w:t>
      </w:r>
      <w:proofErr w:type="spellStart"/>
      <w:r w:rsidRPr="000819A6">
        <w:rPr>
          <w:i/>
          <w:vertAlign w:val="subscript"/>
          <w:lang w:val="en-US"/>
        </w:rPr>
        <w:t>i</w:t>
      </w:r>
      <w:proofErr w:type="spellEnd"/>
      <w:r w:rsidRPr="000819A6">
        <w:rPr>
          <w:i/>
          <w:lang w:val="en-US"/>
        </w:rPr>
        <w:t xml:space="preserve"> </w:t>
      </w:r>
      <w:r w:rsidRPr="000819A6">
        <w:rPr>
          <w:i/>
          <w:lang w:val="en-US"/>
        </w:rPr>
        <w:sym w:font="Symbol" w:char="F044"/>
      </w:r>
      <w:proofErr w:type="spellStart"/>
      <w:proofErr w:type="gramStart"/>
      <w:r w:rsidRPr="000819A6">
        <w:rPr>
          <w:i/>
          <w:lang w:val="en-US"/>
        </w:rPr>
        <w:t>n</w:t>
      </w:r>
      <w:r w:rsidRPr="000819A6">
        <w:rPr>
          <w:i/>
          <w:vertAlign w:val="subscript"/>
          <w:lang w:val="en-US"/>
        </w:rPr>
        <w:t>i</w:t>
      </w:r>
      <w:r>
        <w:rPr>
          <w:i/>
          <w:vertAlign w:val="subscript"/>
          <w:lang w:val="en-US"/>
        </w:rPr>
        <w:t>a</w:t>
      </w:r>
      <w:r w:rsidRPr="000819A6">
        <w:rPr>
          <w:i/>
          <w:vertAlign w:val="subscript"/>
          <w:lang w:val="en-US"/>
        </w:rPr>
        <w:t>t</w:t>
      </w:r>
      <w:r w:rsidRPr="000819A6">
        <w:rPr>
          <w:i/>
          <w:lang w:val="en-US"/>
        </w:rPr>
        <w:t>I</w:t>
      </w:r>
      <w:proofErr w:type="spellEnd"/>
      <w:r w:rsidRPr="000819A6">
        <w:rPr>
          <w:i/>
          <w:lang w:val="en-US"/>
        </w:rPr>
        <w:t>(</w:t>
      </w:r>
      <w:proofErr w:type="gramEnd"/>
      <w:r w:rsidRPr="000819A6">
        <w:rPr>
          <w:i/>
          <w:lang w:val="en-US"/>
        </w:rPr>
        <w:sym w:font="Symbol" w:char="F044"/>
      </w:r>
      <w:proofErr w:type="spellStart"/>
      <w:r w:rsidRPr="000819A6">
        <w:rPr>
          <w:i/>
          <w:lang w:val="en-US"/>
        </w:rPr>
        <w:t>n</w:t>
      </w:r>
      <w:r w:rsidRPr="000819A6">
        <w:rPr>
          <w:i/>
          <w:vertAlign w:val="subscript"/>
          <w:lang w:val="en-US"/>
        </w:rPr>
        <w:t>i</w:t>
      </w:r>
      <w:r>
        <w:rPr>
          <w:i/>
          <w:vertAlign w:val="subscript"/>
          <w:lang w:val="en-US"/>
        </w:rPr>
        <w:t>a</w:t>
      </w:r>
      <w:r w:rsidRPr="000819A6">
        <w:rPr>
          <w:i/>
          <w:vertAlign w:val="subscript"/>
          <w:lang w:val="en-US"/>
        </w:rPr>
        <w:t>t</w:t>
      </w:r>
      <w:proofErr w:type="spellEnd"/>
      <w:r w:rsidRPr="000819A6">
        <w:rPr>
          <w:i/>
          <w:lang w:val="en-US"/>
        </w:rPr>
        <w:t>&lt;0)/</w:t>
      </w:r>
      <w:proofErr w:type="spellStart"/>
      <w:r w:rsidRPr="000819A6">
        <w:rPr>
          <w:i/>
          <w:lang w:val="en-US"/>
        </w:rPr>
        <w:t>X</w:t>
      </w:r>
      <w:r w:rsidRPr="000819A6">
        <w:rPr>
          <w:i/>
          <w:vertAlign w:val="subscript"/>
          <w:lang w:val="en-US"/>
        </w:rPr>
        <w:t>at</w:t>
      </w:r>
      <w:proofErr w:type="spellEnd"/>
      <w:r>
        <w:rPr>
          <w:lang w:val="en-US"/>
        </w:rPr>
        <w:t xml:space="preserve"> be the job destruction rate for age group </w:t>
      </w:r>
      <w:r w:rsidRPr="000819A6">
        <w:rPr>
          <w:i/>
          <w:lang w:val="en-US"/>
        </w:rPr>
        <w:t>a</w:t>
      </w:r>
      <w:r>
        <w:rPr>
          <w:lang w:val="en-US"/>
        </w:rPr>
        <w:t xml:space="preserve">, where </w:t>
      </w:r>
      <w:r w:rsidRPr="000819A6">
        <w:rPr>
          <w:i/>
          <w:lang w:val="en-US"/>
        </w:rPr>
        <w:t>i</w:t>
      </w:r>
      <w:r>
        <w:rPr>
          <w:lang w:val="en-US"/>
        </w:rPr>
        <w:t xml:space="preserve"> represents firms, </w:t>
      </w:r>
      <w:r w:rsidRPr="00397129">
        <w:rPr>
          <w:i/>
          <w:lang w:val="en-US"/>
        </w:rPr>
        <w:t>t</w:t>
      </w:r>
      <w:r>
        <w:rPr>
          <w:lang w:val="en-US"/>
        </w:rPr>
        <w:t xml:space="preserve"> the year, and </w:t>
      </w:r>
      <w:r w:rsidRPr="000819A6">
        <w:rPr>
          <w:i/>
          <w:lang w:val="en-US"/>
        </w:rPr>
        <w:t>I(.)</w:t>
      </w:r>
      <w:r>
        <w:rPr>
          <w:lang w:val="en-US"/>
        </w:rPr>
        <w:t xml:space="preserve"> is the indicator function that assumes value one when its argument is true and zero otherwise. Similarly, let </w:t>
      </w:r>
      <w:proofErr w:type="spellStart"/>
      <w:r w:rsidRPr="000819A6">
        <w:rPr>
          <w:i/>
          <w:lang w:val="en-US"/>
        </w:rPr>
        <w:t>J</w:t>
      </w:r>
      <w:r>
        <w:rPr>
          <w:i/>
          <w:lang w:val="en-US"/>
        </w:rPr>
        <w:t>C</w:t>
      </w:r>
      <w:r w:rsidRPr="000819A6">
        <w:rPr>
          <w:i/>
          <w:vertAlign w:val="subscript"/>
          <w:lang w:val="en-US"/>
        </w:rPr>
        <w:t>at</w:t>
      </w:r>
      <w:proofErr w:type="spellEnd"/>
      <w:r w:rsidRPr="000819A6">
        <w:rPr>
          <w:i/>
          <w:lang w:val="en-US"/>
        </w:rPr>
        <w:t xml:space="preserve">= </w:t>
      </w:r>
      <w:r w:rsidRPr="000819A6">
        <w:rPr>
          <w:rFonts w:ascii="Symbol" w:hAnsi="Symbol"/>
          <w:i/>
          <w:sz w:val="28"/>
        </w:rPr>
        <w:t></w:t>
      </w:r>
      <w:proofErr w:type="spellStart"/>
      <w:r w:rsidRPr="000819A6">
        <w:rPr>
          <w:i/>
          <w:vertAlign w:val="subscript"/>
          <w:lang w:val="en-US"/>
        </w:rPr>
        <w:t>i</w:t>
      </w:r>
      <w:proofErr w:type="spellEnd"/>
      <w:r w:rsidRPr="000819A6">
        <w:rPr>
          <w:i/>
          <w:lang w:val="en-US"/>
        </w:rPr>
        <w:t xml:space="preserve"> </w:t>
      </w:r>
      <w:r w:rsidRPr="000819A6">
        <w:rPr>
          <w:i/>
          <w:lang w:val="en-US"/>
        </w:rPr>
        <w:sym w:font="Symbol" w:char="F044"/>
      </w:r>
      <w:proofErr w:type="spellStart"/>
      <w:proofErr w:type="gramStart"/>
      <w:r w:rsidRPr="000819A6">
        <w:rPr>
          <w:i/>
          <w:lang w:val="en-US"/>
        </w:rPr>
        <w:t>n</w:t>
      </w:r>
      <w:r w:rsidRPr="000819A6">
        <w:rPr>
          <w:i/>
          <w:vertAlign w:val="subscript"/>
          <w:lang w:val="en-US"/>
        </w:rPr>
        <w:t>i</w:t>
      </w:r>
      <w:r>
        <w:rPr>
          <w:i/>
          <w:vertAlign w:val="subscript"/>
          <w:lang w:val="en-US"/>
        </w:rPr>
        <w:t>a</w:t>
      </w:r>
      <w:r w:rsidRPr="000819A6">
        <w:rPr>
          <w:i/>
          <w:vertAlign w:val="subscript"/>
          <w:lang w:val="en-US"/>
        </w:rPr>
        <w:t>t</w:t>
      </w:r>
      <w:r w:rsidRPr="000819A6">
        <w:rPr>
          <w:i/>
          <w:lang w:val="en-US"/>
        </w:rPr>
        <w:t>I</w:t>
      </w:r>
      <w:proofErr w:type="spellEnd"/>
      <w:r w:rsidRPr="000819A6">
        <w:rPr>
          <w:i/>
          <w:lang w:val="en-US"/>
        </w:rPr>
        <w:t>(</w:t>
      </w:r>
      <w:proofErr w:type="gramEnd"/>
      <w:r w:rsidRPr="000819A6">
        <w:rPr>
          <w:i/>
          <w:lang w:val="en-US"/>
        </w:rPr>
        <w:sym w:font="Symbol" w:char="F044"/>
      </w:r>
      <w:proofErr w:type="spellStart"/>
      <w:r w:rsidRPr="000819A6">
        <w:rPr>
          <w:i/>
          <w:lang w:val="en-US"/>
        </w:rPr>
        <w:t>n</w:t>
      </w:r>
      <w:r w:rsidRPr="000819A6">
        <w:rPr>
          <w:i/>
          <w:vertAlign w:val="subscript"/>
          <w:lang w:val="en-US"/>
        </w:rPr>
        <w:t>i</w:t>
      </w:r>
      <w:r>
        <w:rPr>
          <w:i/>
          <w:vertAlign w:val="subscript"/>
          <w:lang w:val="en-US"/>
        </w:rPr>
        <w:t>a</w:t>
      </w:r>
      <w:r w:rsidRPr="000819A6">
        <w:rPr>
          <w:i/>
          <w:vertAlign w:val="subscript"/>
          <w:lang w:val="en-US"/>
        </w:rPr>
        <w:t>t</w:t>
      </w:r>
      <w:proofErr w:type="spellEnd"/>
      <w:r>
        <w:rPr>
          <w:i/>
          <w:lang w:val="en-US"/>
        </w:rPr>
        <w:t>&gt;</w:t>
      </w:r>
      <w:r w:rsidRPr="000819A6">
        <w:rPr>
          <w:i/>
          <w:lang w:val="en-US"/>
        </w:rPr>
        <w:t>0)/</w:t>
      </w:r>
      <w:proofErr w:type="spellStart"/>
      <w:r w:rsidRPr="000819A6">
        <w:rPr>
          <w:i/>
          <w:lang w:val="en-US"/>
        </w:rPr>
        <w:t>X</w:t>
      </w:r>
      <w:r w:rsidRPr="000819A6">
        <w:rPr>
          <w:i/>
          <w:vertAlign w:val="subscript"/>
          <w:lang w:val="en-US"/>
        </w:rPr>
        <w:t>at</w:t>
      </w:r>
      <w:proofErr w:type="spellEnd"/>
      <w:r>
        <w:rPr>
          <w:lang w:val="en-US"/>
        </w:rPr>
        <w:t xml:space="preserve"> be the job creation rate for age group </w:t>
      </w:r>
      <w:r w:rsidRPr="00AD0488">
        <w:rPr>
          <w:i/>
          <w:lang w:val="en-US"/>
        </w:rPr>
        <w:t>a</w:t>
      </w:r>
      <w:r>
        <w:rPr>
          <w:lang w:val="en-US"/>
        </w:rPr>
        <w:t xml:space="preserve"> in year </w:t>
      </w:r>
      <w:r w:rsidRPr="00AD0488">
        <w:rPr>
          <w:i/>
          <w:lang w:val="en-US"/>
        </w:rPr>
        <w:t>t</w:t>
      </w:r>
      <w:r>
        <w:rPr>
          <w:lang w:val="en-US"/>
        </w:rPr>
        <w:t xml:space="preserve">. </w:t>
      </w:r>
    </w:p>
    <w:p w:rsidR="00902D5F" w:rsidRPr="00AD0488" w:rsidRDefault="00902D5F" w:rsidP="00902D5F">
      <w:pPr>
        <w:spacing w:line="360" w:lineRule="auto"/>
        <w:rPr>
          <w:lang w:val="en-US"/>
        </w:rPr>
      </w:pPr>
      <w:r>
        <w:rPr>
          <w:lang w:val="en-US"/>
        </w:rPr>
        <w:t xml:space="preserve">We define the </w:t>
      </w:r>
      <w:r w:rsidRPr="00397129">
        <w:rPr>
          <w:i/>
          <w:lang w:val="en-US"/>
        </w:rPr>
        <w:t>within age-group substitution</w:t>
      </w:r>
      <w:r>
        <w:rPr>
          <w:lang w:val="en-US"/>
        </w:rPr>
        <w:t xml:space="preserve"> rate as the difference between the permanent separation rate and the job destruction rate for age group </w:t>
      </w:r>
      <w:r w:rsidRPr="00397129">
        <w:rPr>
          <w:i/>
          <w:lang w:val="en-US"/>
        </w:rPr>
        <w:t>a</w:t>
      </w:r>
      <w:r>
        <w:rPr>
          <w:lang w:val="en-US"/>
        </w:rPr>
        <w:t xml:space="preserve">: </w:t>
      </w:r>
      <w:proofErr w:type="spellStart"/>
      <w:r w:rsidRPr="00411C20">
        <w:rPr>
          <w:i/>
          <w:lang w:val="en-US"/>
        </w:rPr>
        <w:t>W</w:t>
      </w:r>
      <w:r w:rsidRPr="00411C20">
        <w:rPr>
          <w:i/>
          <w:vertAlign w:val="subscript"/>
          <w:lang w:val="en-US"/>
        </w:rPr>
        <w:t>at</w:t>
      </w:r>
      <w:proofErr w:type="spellEnd"/>
      <w:r w:rsidRPr="00411C20">
        <w:rPr>
          <w:i/>
          <w:lang w:val="en-US"/>
        </w:rPr>
        <w:t xml:space="preserve"> = S</w:t>
      </w:r>
      <w:r w:rsidRPr="00411C20">
        <w:rPr>
          <w:i/>
          <w:vertAlign w:val="superscript"/>
          <w:lang w:val="en-US"/>
        </w:rPr>
        <w:t>p</w:t>
      </w:r>
      <w:r w:rsidRPr="00411C20">
        <w:rPr>
          <w:i/>
          <w:vertAlign w:val="subscript"/>
          <w:lang w:val="en-US"/>
        </w:rPr>
        <w:t>at</w:t>
      </w:r>
      <w:r w:rsidRPr="00411C20">
        <w:rPr>
          <w:i/>
          <w:lang w:val="en-US"/>
        </w:rPr>
        <w:t xml:space="preserve"> – </w:t>
      </w:r>
      <w:proofErr w:type="spellStart"/>
      <w:r w:rsidRPr="00411C20">
        <w:rPr>
          <w:i/>
          <w:lang w:val="en-US"/>
        </w:rPr>
        <w:t>JD</w:t>
      </w:r>
      <w:r w:rsidRPr="00411C20">
        <w:rPr>
          <w:i/>
          <w:vertAlign w:val="subscript"/>
          <w:lang w:val="en-US"/>
        </w:rPr>
        <w:t>at</w:t>
      </w:r>
      <w:proofErr w:type="spellEnd"/>
      <w:r>
        <w:rPr>
          <w:lang w:val="en-US"/>
        </w:rPr>
        <w:t xml:space="preserve">. The </w:t>
      </w:r>
      <w:r w:rsidRPr="00AD0488">
        <w:rPr>
          <w:i/>
          <w:lang w:val="en-US"/>
        </w:rPr>
        <w:t>between age-group substitution</w:t>
      </w:r>
      <w:r>
        <w:rPr>
          <w:lang w:val="en-US"/>
        </w:rPr>
        <w:t xml:space="preserve"> rate is defined as: </w:t>
      </w:r>
      <w:r w:rsidRPr="00411C20">
        <w:rPr>
          <w:i/>
          <w:lang w:val="en-US"/>
        </w:rPr>
        <w:t>B</w:t>
      </w:r>
      <w:r w:rsidRPr="00411C20">
        <w:rPr>
          <w:i/>
          <w:vertAlign w:val="subscript"/>
          <w:lang w:val="en-US"/>
        </w:rPr>
        <w:t>at</w:t>
      </w:r>
      <w:r w:rsidRPr="00411C20">
        <w:rPr>
          <w:i/>
          <w:lang w:val="en-US"/>
        </w:rPr>
        <w:t xml:space="preserve"> = </w:t>
      </w:r>
      <w:proofErr w:type="gramStart"/>
      <w:r w:rsidRPr="00411C20">
        <w:rPr>
          <w:i/>
          <w:lang w:val="en-US"/>
        </w:rPr>
        <w:t>min{</w:t>
      </w:r>
      <w:proofErr w:type="spellStart"/>
      <w:proofErr w:type="gramEnd"/>
      <w:r w:rsidRPr="00411C20">
        <w:rPr>
          <w:i/>
          <w:lang w:val="en-US"/>
        </w:rPr>
        <w:t>JC</w:t>
      </w:r>
      <w:r w:rsidRPr="00411C20">
        <w:rPr>
          <w:i/>
          <w:vertAlign w:val="subscript"/>
          <w:lang w:val="en-US"/>
        </w:rPr>
        <w:t>a’t</w:t>
      </w:r>
      <w:proofErr w:type="spellEnd"/>
      <w:r>
        <w:rPr>
          <w:i/>
          <w:vertAlign w:val="subscript"/>
          <w:lang w:val="en-US"/>
        </w:rPr>
        <w:t xml:space="preserve"> </w:t>
      </w:r>
      <w:r>
        <w:rPr>
          <w:i/>
          <w:lang w:val="en-US"/>
        </w:rPr>
        <w:t xml:space="preserve">* </w:t>
      </w:r>
      <w:proofErr w:type="spellStart"/>
      <w:r>
        <w:rPr>
          <w:i/>
          <w:lang w:val="en-US"/>
        </w:rPr>
        <w:t>x</w:t>
      </w:r>
      <w:r w:rsidRPr="002244E6">
        <w:rPr>
          <w:i/>
          <w:vertAlign w:val="subscript"/>
          <w:lang w:val="en-US"/>
        </w:rPr>
        <w:t>a</w:t>
      </w:r>
      <w:proofErr w:type="spellEnd"/>
      <w:r w:rsidRPr="002244E6">
        <w:rPr>
          <w:i/>
          <w:vertAlign w:val="subscript"/>
          <w:lang w:val="en-US"/>
        </w:rPr>
        <w:t>’,a</w:t>
      </w:r>
      <w:r w:rsidRPr="00411C20">
        <w:rPr>
          <w:i/>
          <w:lang w:val="en-US"/>
        </w:rPr>
        <w:t xml:space="preserve">; </w:t>
      </w:r>
      <w:proofErr w:type="spellStart"/>
      <w:r w:rsidRPr="00411C20">
        <w:rPr>
          <w:i/>
          <w:lang w:val="en-US"/>
        </w:rPr>
        <w:t>JD</w:t>
      </w:r>
      <w:r w:rsidRPr="00411C20">
        <w:rPr>
          <w:i/>
          <w:vertAlign w:val="subscript"/>
          <w:lang w:val="en-US"/>
        </w:rPr>
        <w:t>at</w:t>
      </w:r>
      <w:proofErr w:type="spellEnd"/>
      <w:r w:rsidRPr="00411C20">
        <w:rPr>
          <w:i/>
          <w:lang w:val="en-US"/>
        </w:rPr>
        <w:t>}</w:t>
      </w:r>
      <w:r>
        <w:rPr>
          <w:lang w:val="en-US"/>
        </w:rPr>
        <w:t xml:space="preserve">, where </w:t>
      </w:r>
      <w:r w:rsidRPr="00411C20">
        <w:rPr>
          <w:i/>
          <w:lang w:val="en-US"/>
        </w:rPr>
        <w:t>a’</w:t>
      </w:r>
      <w:r>
        <w:rPr>
          <w:lang w:val="en-US"/>
        </w:rPr>
        <w:t xml:space="preserve"> denotes a different age group from </w:t>
      </w:r>
      <w:r w:rsidRPr="00411C20">
        <w:rPr>
          <w:i/>
          <w:lang w:val="en-US"/>
        </w:rPr>
        <w:t>a</w:t>
      </w:r>
      <w:r>
        <w:rPr>
          <w:lang w:val="en-US"/>
        </w:rPr>
        <w:t xml:space="preserve"> and </w:t>
      </w:r>
      <w:proofErr w:type="spellStart"/>
      <w:r>
        <w:rPr>
          <w:i/>
          <w:lang w:val="en-US"/>
        </w:rPr>
        <w:t>x</w:t>
      </w:r>
      <w:r w:rsidRPr="002244E6">
        <w:rPr>
          <w:i/>
          <w:vertAlign w:val="subscript"/>
          <w:lang w:val="en-US"/>
        </w:rPr>
        <w:t>a</w:t>
      </w:r>
      <w:proofErr w:type="spellEnd"/>
      <w:r w:rsidRPr="002244E6">
        <w:rPr>
          <w:i/>
          <w:vertAlign w:val="subscript"/>
          <w:lang w:val="en-US"/>
        </w:rPr>
        <w:t>’,a</w:t>
      </w:r>
      <w:r>
        <w:rPr>
          <w:lang w:val="en-US"/>
        </w:rPr>
        <w:t xml:space="preserve"> = </w:t>
      </w:r>
      <w:proofErr w:type="spellStart"/>
      <w:r w:rsidRPr="000819A6">
        <w:rPr>
          <w:i/>
          <w:lang w:val="en-US"/>
        </w:rPr>
        <w:t>X</w:t>
      </w:r>
      <w:r w:rsidRPr="000819A6">
        <w:rPr>
          <w:i/>
          <w:vertAlign w:val="subscript"/>
          <w:lang w:val="en-US"/>
        </w:rPr>
        <w:t>a</w:t>
      </w:r>
      <w:r>
        <w:rPr>
          <w:i/>
          <w:vertAlign w:val="subscript"/>
          <w:lang w:val="en-US"/>
        </w:rPr>
        <w:t>’</w:t>
      </w:r>
      <w:r w:rsidRPr="000819A6">
        <w:rPr>
          <w:i/>
          <w:vertAlign w:val="subscript"/>
          <w:lang w:val="en-US"/>
        </w:rPr>
        <w:t>t</w:t>
      </w:r>
      <w:proofErr w:type="spellEnd"/>
      <w:r>
        <w:rPr>
          <w:i/>
          <w:lang w:val="en-US"/>
        </w:rPr>
        <w:t>/</w:t>
      </w:r>
      <w:r w:rsidRPr="00D466C5">
        <w:rPr>
          <w:i/>
          <w:lang w:val="en-US"/>
        </w:rPr>
        <w:t xml:space="preserve"> </w:t>
      </w:r>
      <w:proofErr w:type="spellStart"/>
      <w:r w:rsidRPr="000819A6">
        <w:rPr>
          <w:i/>
          <w:lang w:val="en-US"/>
        </w:rPr>
        <w:t>X</w:t>
      </w:r>
      <w:r w:rsidRPr="000819A6">
        <w:rPr>
          <w:i/>
          <w:vertAlign w:val="subscript"/>
          <w:lang w:val="en-US"/>
        </w:rPr>
        <w:t>at</w:t>
      </w:r>
      <w:proofErr w:type="spellEnd"/>
      <w:r>
        <w:rPr>
          <w:lang w:val="en-US"/>
        </w:rPr>
        <w:t>.</w:t>
      </w:r>
      <w:r>
        <w:rPr>
          <w:rStyle w:val="Refdenotaderodap"/>
          <w:lang w:val="en-US"/>
        </w:rPr>
        <w:footnoteReference w:id="15"/>
      </w:r>
      <w:r>
        <w:rPr>
          <w:lang w:val="en-US"/>
        </w:rPr>
        <w:t xml:space="preserve"> </w:t>
      </w:r>
      <w:r w:rsidRPr="002244E6">
        <w:rPr>
          <w:lang w:val="en-US"/>
        </w:rPr>
        <w:t>Finally</w:t>
      </w:r>
      <w:r>
        <w:rPr>
          <w:lang w:val="en-US"/>
        </w:rPr>
        <w:t xml:space="preserve">, we can define what we call the </w:t>
      </w:r>
      <w:r w:rsidRPr="00411C20">
        <w:rPr>
          <w:i/>
          <w:lang w:val="en-US"/>
        </w:rPr>
        <w:t>effective</w:t>
      </w:r>
      <w:r>
        <w:rPr>
          <w:lang w:val="en-US"/>
        </w:rPr>
        <w:t xml:space="preserve"> </w:t>
      </w:r>
      <w:r w:rsidRPr="00411C20">
        <w:rPr>
          <w:i/>
          <w:lang w:val="en-US"/>
        </w:rPr>
        <w:t>job destruction</w:t>
      </w:r>
      <w:r>
        <w:rPr>
          <w:lang w:val="en-US"/>
        </w:rPr>
        <w:t xml:space="preserve"> rate for group </w:t>
      </w:r>
      <w:r w:rsidRPr="00411C20">
        <w:rPr>
          <w:i/>
          <w:lang w:val="en-US"/>
        </w:rPr>
        <w:t>a</w:t>
      </w:r>
      <w:r>
        <w:rPr>
          <w:lang w:val="en-US"/>
        </w:rPr>
        <w:t xml:space="preserve"> at time </w:t>
      </w:r>
      <w:r w:rsidRPr="00411C20">
        <w:rPr>
          <w:i/>
          <w:lang w:val="en-US"/>
        </w:rPr>
        <w:t>t</w:t>
      </w:r>
      <w:r>
        <w:rPr>
          <w:lang w:val="en-US"/>
        </w:rPr>
        <w:t xml:space="preserve">: </w:t>
      </w:r>
      <w:proofErr w:type="spellStart"/>
      <w:r>
        <w:rPr>
          <w:i/>
          <w:lang w:val="en-US"/>
        </w:rPr>
        <w:t>EJ</w:t>
      </w:r>
      <w:r w:rsidRPr="000819A6">
        <w:rPr>
          <w:i/>
          <w:lang w:val="en-US"/>
        </w:rPr>
        <w:t>D</w:t>
      </w:r>
      <w:r w:rsidRPr="000819A6">
        <w:rPr>
          <w:i/>
          <w:vertAlign w:val="subscript"/>
          <w:lang w:val="en-US"/>
        </w:rPr>
        <w:t>at</w:t>
      </w:r>
      <w:proofErr w:type="spellEnd"/>
      <w:r>
        <w:rPr>
          <w:i/>
          <w:vertAlign w:val="subscript"/>
          <w:lang w:val="en-US"/>
        </w:rPr>
        <w:t xml:space="preserve"> </w:t>
      </w:r>
      <w:r>
        <w:rPr>
          <w:i/>
          <w:lang w:val="en-US"/>
        </w:rPr>
        <w:t>=</w:t>
      </w:r>
      <w:r w:rsidRPr="00411C20">
        <w:rPr>
          <w:i/>
          <w:lang w:val="en-US"/>
        </w:rPr>
        <w:t xml:space="preserve"> </w:t>
      </w:r>
      <w:proofErr w:type="spellStart"/>
      <w:r w:rsidRPr="00411C20">
        <w:rPr>
          <w:i/>
          <w:lang w:val="en-US"/>
        </w:rPr>
        <w:t>JD</w:t>
      </w:r>
      <w:r w:rsidRPr="00411C20">
        <w:rPr>
          <w:i/>
          <w:vertAlign w:val="subscript"/>
          <w:lang w:val="en-US"/>
        </w:rPr>
        <w:t>at</w:t>
      </w:r>
      <w:proofErr w:type="spellEnd"/>
      <w:r>
        <w:rPr>
          <w:i/>
          <w:lang w:val="en-US"/>
        </w:rPr>
        <w:t xml:space="preserve"> -</w:t>
      </w:r>
      <w:r w:rsidRPr="00E1388A">
        <w:rPr>
          <w:i/>
          <w:lang w:val="en-US"/>
        </w:rPr>
        <w:t xml:space="preserve"> </w:t>
      </w:r>
      <w:r w:rsidRPr="00411C20">
        <w:rPr>
          <w:i/>
          <w:lang w:val="en-US"/>
        </w:rPr>
        <w:t>B</w:t>
      </w:r>
      <w:r w:rsidRPr="00411C20">
        <w:rPr>
          <w:i/>
          <w:vertAlign w:val="subscript"/>
          <w:lang w:val="en-US"/>
        </w:rPr>
        <w:t>at</w:t>
      </w:r>
      <w:r>
        <w:rPr>
          <w:lang w:val="en-US"/>
        </w:rPr>
        <w:t xml:space="preserve">. The interpretation of these concepts is that from all separations that occurred for age group </w:t>
      </w:r>
      <w:r w:rsidRPr="003850D3">
        <w:rPr>
          <w:i/>
          <w:lang w:val="en-US"/>
        </w:rPr>
        <w:t>a</w:t>
      </w:r>
      <w:r>
        <w:rPr>
          <w:lang w:val="en-US"/>
        </w:rPr>
        <w:t xml:space="preserve"> in the economy, part resulted in the substitution of workers from the same age group, part in the substitution of workers from another age group and the rest is attributed to what would be the effective destruction of the job occupied by workers of group </w:t>
      </w:r>
      <w:r w:rsidRPr="00954B69">
        <w:rPr>
          <w:i/>
          <w:lang w:val="en-US"/>
        </w:rPr>
        <w:t>a</w:t>
      </w:r>
      <w:r>
        <w:rPr>
          <w:lang w:val="en-US"/>
        </w:rPr>
        <w:t xml:space="preserve">. </w:t>
      </w:r>
      <w:r w:rsidR="00867AD0">
        <w:rPr>
          <w:rStyle w:val="Refdenotaderodap"/>
          <w:lang w:val="en-US"/>
        </w:rPr>
        <w:footnoteReference w:id="16"/>
      </w:r>
    </w:p>
    <w:p w:rsidR="00AF4511" w:rsidRDefault="00AF4511" w:rsidP="00AF4511">
      <w:pPr>
        <w:spacing w:line="360" w:lineRule="auto"/>
        <w:rPr>
          <w:lang w:val="en-US"/>
        </w:rPr>
      </w:pPr>
      <w:r>
        <w:rPr>
          <w:lang w:val="en-US"/>
        </w:rPr>
        <w:t>Perhaps the most interesting</w:t>
      </w:r>
      <w:r w:rsidR="001F05C6">
        <w:rPr>
          <w:lang w:val="en-US"/>
        </w:rPr>
        <w:t xml:space="preserve"> result</w:t>
      </w:r>
      <w:r w:rsidR="00AB1191">
        <w:rPr>
          <w:lang w:val="en-US"/>
        </w:rPr>
        <w:t xml:space="preserve"> revealed by Figure 8</w:t>
      </w:r>
      <w:r>
        <w:rPr>
          <w:lang w:val="en-US"/>
        </w:rPr>
        <w:t xml:space="preserve"> is the low degree of substitution between youths and adults. Indeed, the share of substitution of one type of worker for the other is on average 4% and never surpasses the 5% level over the entire perio</w:t>
      </w:r>
      <w:r w:rsidR="001F05C6">
        <w:rPr>
          <w:lang w:val="en-US"/>
        </w:rPr>
        <w:t>d of analysis. Though a more in-</w:t>
      </w:r>
      <w:r>
        <w:rPr>
          <w:lang w:val="en-US"/>
        </w:rPr>
        <w:t>depth analysis would be needed, these low figures give an indication that</w:t>
      </w:r>
      <w:r w:rsidR="00867AD0">
        <w:rPr>
          <w:lang w:val="en-US"/>
        </w:rPr>
        <w:t xml:space="preserve"> young</w:t>
      </w:r>
      <w:r>
        <w:rPr>
          <w:lang w:val="en-US"/>
        </w:rPr>
        <w:t xml:space="preserve"> and adult </w:t>
      </w:r>
      <w:proofErr w:type="gramStart"/>
      <w:r>
        <w:rPr>
          <w:lang w:val="en-US"/>
        </w:rPr>
        <w:t>labor enter</w:t>
      </w:r>
      <w:proofErr w:type="gramEnd"/>
      <w:r>
        <w:rPr>
          <w:lang w:val="en-US"/>
        </w:rPr>
        <w:t xml:space="preserve"> the aggregate production function almost in a fixe</w:t>
      </w:r>
      <w:r w:rsidR="00981962">
        <w:rPr>
          <w:lang w:val="en-US"/>
        </w:rPr>
        <w:t>d proportion fashion. Figure 8</w:t>
      </w:r>
      <w:r>
        <w:rPr>
          <w:lang w:val="en-US"/>
        </w:rPr>
        <w:t xml:space="preserve"> also reveals that substitution within the same age category is more common for youths than for adults, with a difference in shares of around 6 p.p. for the former group. It is also noticeable that replacement within the same age group became more important across the years for both groups. Indeed, there was a rise of more than 10 p.p. for youths and adults when we compare the share of within substitution in last half of the 1990’s with the last half of the 2000’s. The opposite </w:t>
      </w:r>
      <w:r>
        <w:rPr>
          <w:lang w:val="en-US"/>
        </w:rPr>
        <w:lastRenderedPageBreak/>
        <w:t>movement happened with the share of separations due to job destruction. Again, part of this may be explained by the response of workers and firms to the economic cycle.</w:t>
      </w:r>
    </w:p>
    <w:p w:rsidR="00AF4511" w:rsidRPr="00621EB6" w:rsidRDefault="00AF4511" w:rsidP="00AF4511">
      <w:pPr>
        <w:rPr>
          <w:lang w:val="en-US"/>
        </w:rPr>
      </w:pPr>
      <w:r w:rsidRPr="00621EB6">
        <w:rPr>
          <w:lang w:val="en-US"/>
        </w:rPr>
        <w:t xml:space="preserve">Figure </w:t>
      </w:r>
      <w:r w:rsidR="00AB1191">
        <w:rPr>
          <w:lang w:val="en-US"/>
        </w:rPr>
        <w:t>8</w:t>
      </w:r>
      <w:r w:rsidRPr="00621EB6">
        <w:rPr>
          <w:lang w:val="en-US"/>
        </w:rPr>
        <w:t>: Share of Separations by Type: Job Destruction and Substitution Within or Between Age Groups, 1996-2010</w:t>
      </w:r>
    </w:p>
    <w:p w:rsidR="00AF4511" w:rsidRDefault="00AF4511" w:rsidP="00AF4511">
      <w:pPr>
        <w:rPr>
          <w:lang w:val="en-US"/>
        </w:rPr>
      </w:pPr>
      <w:r>
        <w:rPr>
          <w:noProof/>
        </w:rPr>
        <w:drawing>
          <wp:inline distT="0" distB="0" distL="0" distR="0">
            <wp:extent cx="5324983" cy="3323646"/>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24216" cy="3323167"/>
                    </a:xfrm>
                    <a:prstGeom prst="rect">
                      <a:avLst/>
                    </a:prstGeom>
                    <a:noFill/>
                  </pic:spPr>
                </pic:pic>
              </a:graphicData>
            </a:graphic>
          </wp:inline>
        </w:drawing>
      </w:r>
    </w:p>
    <w:p w:rsidR="00AF4511" w:rsidRDefault="00AF4511" w:rsidP="00AF4511">
      <w:pPr>
        <w:rPr>
          <w:lang w:val="en-US"/>
        </w:rPr>
      </w:pPr>
      <w:r w:rsidRPr="00C70305">
        <w:rPr>
          <w:sz w:val="20"/>
          <w:szCs w:val="20"/>
          <w:lang w:val="en-US"/>
        </w:rPr>
        <w:t xml:space="preserve">Source: </w:t>
      </w:r>
      <w:r>
        <w:rPr>
          <w:sz w:val="20"/>
          <w:szCs w:val="20"/>
          <w:lang w:val="en-US"/>
        </w:rPr>
        <w:t>A</w:t>
      </w:r>
      <w:r w:rsidRPr="00C70305">
        <w:rPr>
          <w:sz w:val="20"/>
          <w:szCs w:val="20"/>
          <w:lang w:val="en-US"/>
        </w:rPr>
        <w:t>uthors’ estimates based on RAIS/MTE data.</w:t>
      </w:r>
    </w:p>
    <w:p w:rsidR="00A95B2F" w:rsidRDefault="00A95B2F" w:rsidP="00AF4511">
      <w:pPr>
        <w:spacing w:line="360" w:lineRule="auto"/>
        <w:rPr>
          <w:lang w:val="en-US"/>
        </w:rPr>
      </w:pPr>
    </w:p>
    <w:p w:rsidR="00AB1191" w:rsidRDefault="00AB1191" w:rsidP="00AF4511">
      <w:pPr>
        <w:spacing w:line="360" w:lineRule="auto"/>
        <w:rPr>
          <w:lang w:val="en-US"/>
        </w:rPr>
      </w:pPr>
      <w:r>
        <w:rPr>
          <w:lang w:val="en-US"/>
        </w:rPr>
        <w:t xml:space="preserve">In sum, the evidence presented in this section shows that: permanent separations are an important fraction of separations for youths, voluntary quits and the </w:t>
      </w:r>
      <w:r w:rsidR="00BD540E">
        <w:rPr>
          <w:lang w:val="en-US"/>
        </w:rPr>
        <w:t xml:space="preserve">termination of time-limited contracts are relatively more relevant for youths than for adults, and the main form of replacement of youths is not a substitution by an adult but a substitution by another worker of the same age group. </w:t>
      </w:r>
      <w:r w:rsidR="00981962">
        <w:rPr>
          <w:lang w:val="en-US"/>
        </w:rPr>
        <w:t xml:space="preserve">Another important result is that job separations </w:t>
      </w:r>
      <w:r w:rsidR="00AB20EC">
        <w:rPr>
          <w:lang w:val="en-US"/>
        </w:rPr>
        <w:t xml:space="preserve">(particularly lay-offs and job destruction) </w:t>
      </w:r>
      <w:r w:rsidR="00981962">
        <w:rPr>
          <w:lang w:val="en-US"/>
        </w:rPr>
        <w:t xml:space="preserve">for both age groups seem to be affected by the business cycle. </w:t>
      </w:r>
      <w:r w:rsidR="00BD540E">
        <w:rPr>
          <w:lang w:val="en-US"/>
        </w:rPr>
        <w:t xml:space="preserve">Although a deeper investigation would be needed to reach a clearer understanding of these findings, it is quite likely </w:t>
      </w:r>
      <w:proofErr w:type="gramStart"/>
      <w:r w:rsidR="00BD540E">
        <w:rPr>
          <w:lang w:val="en-US"/>
        </w:rPr>
        <w:t>that  demand</w:t>
      </w:r>
      <w:proofErr w:type="gramEnd"/>
      <w:r w:rsidR="00BD540E">
        <w:rPr>
          <w:lang w:val="en-US"/>
        </w:rPr>
        <w:t>, supply, and institutional factors</w:t>
      </w:r>
      <w:r w:rsidR="00981962">
        <w:rPr>
          <w:lang w:val="en-US"/>
        </w:rPr>
        <w:t>,</w:t>
      </w:r>
      <w:r w:rsidR="00BD540E">
        <w:rPr>
          <w:lang w:val="en-US"/>
        </w:rPr>
        <w:t xml:space="preserve"> played their role</w:t>
      </w:r>
      <w:r w:rsidR="00981962">
        <w:rPr>
          <w:lang w:val="en-US"/>
        </w:rPr>
        <w:t xml:space="preserve"> in explaining the </w:t>
      </w:r>
      <w:r w:rsidR="00867AD0">
        <w:rPr>
          <w:lang w:val="en-US"/>
        </w:rPr>
        <w:t xml:space="preserve">turnover patters </w:t>
      </w:r>
      <w:r w:rsidR="00981962">
        <w:rPr>
          <w:lang w:val="en-US"/>
        </w:rPr>
        <w:t>in the last 15 years</w:t>
      </w:r>
      <w:r w:rsidR="00BD540E">
        <w:rPr>
          <w:lang w:val="en-US"/>
        </w:rPr>
        <w:t xml:space="preserve">. </w:t>
      </w:r>
    </w:p>
    <w:p w:rsidR="00867AD0" w:rsidRPr="006A4EEF" w:rsidRDefault="00867AD0" w:rsidP="00AF4511">
      <w:pPr>
        <w:spacing w:line="360" w:lineRule="auto"/>
        <w:rPr>
          <w:lang w:val="en-US"/>
        </w:rPr>
      </w:pPr>
    </w:p>
    <w:p w:rsidR="00473188" w:rsidRPr="005E5A66" w:rsidRDefault="00EB3FBF" w:rsidP="00473188">
      <w:pPr>
        <w:spacing w:line="360" w:lineRule="auto"/>
        <w:rPr>
          <w:lang w:val="en-US"/>
        </w:rPr>
      </w:pPr>
      <w:r w:rsidRPr="00EB3FBF">
        <w:rPr>
          <w:b/>
          <w:lang w:val="en-US"/>
        </w:rPr>
        <w:t>6.</w:t>
      </w:r>
      <w:r>
        <w:rPr>
          <w:lang w:val="en-US"/>
        </w:rPr>
        <w:t xml:space="preserve"> </w:t>
      </w:r>
      <w:r w:rsidR="00541DDE" w:rsidRPr="005E5A66">
        <w:rPr>
          <w:b/>
          <w:lang w:val="en-US"/>
        </w:rPr>
        <w:t>The effects of workers</w:t>
      </w:r>
      <w:r w:rsidR="0054568F">
        <w:rPr>
          <w:b/>
          <w:lang w:val="en-US"/>
        </w:rPr>
        <w:t>’</w:t>
      </w:r>
      <w:r w:rsidR="00541DDE" w:rsidRPr="005E5A66">
        <w:rPr>
          <w:b/>
          <w:lang w:val="en-US"/>
        </w:rPr>
        <w:t xml:space="preserve"> age on turnover</w:t>
      </w:r>
    </w:p>
    <w:p w:rsidR="00850034" w:rsidRPr="00295F7F" w:rsidRDefault="001848AE" w:rsidP="00850034">
      <w:pPr>
        <w:spacing w:line="360" w:lineRule="auto"/>
        <w:rPr>
          <w:lang w:val="en-US"/>
        </w:rPr>
      </w:pPr>
      <w:r>
        <w:rPr>
          <w:bCs/>
          <w:lang w:val="en-US"/>
        </w:rPr>
        <w:t>One conclusion that emerges from the previous section is that young and adult workers may enter the production function in a fixed proportion fashion. That is to say that some jobs may be allocated only for young workers.</w:t>
      </w:r>
      <w:r w:rsidR="00867AD0">
        <w:rPr>
          <w:bCs/>
          <w:lang w:val="en-US"/>
        </w:rPr>
        <w:t xml:space="preserve"> Assume that</w:t>
      </w:r>
      <w:r>
        <w:rPr>
          <w:bCs/>
          <w:lang w:val="en-US"/>
        </w:rPr>
        <w:t xml:space="preserve"> t</w:t>
      </w:r>
      <w:r w:rsidR="000A7C8A">
        <w:rPr>
          <w:bCs/>
          <w:lang w:val="en-US"/>
        </w:rPr>
        <w:t>he turnover rates for the</w:t>
      </w:r>
      <w:r>
        <w:rPr>
          <w:bCs/>
          <w:lang w:val="en-US"/>
        </w:rPr>
        <w:t>s</w:t>
      </w:r>
      <w:r w:rsidR="000A7C8A">
        <w:rPr>
          <w:bCs/>
          <w:lang w:val="en-US"/>
        </w:rPr>
        <w:t>e</w:t>
      </w:r>
      <w:r>
        <w:rPr>
          <w:bCs/>
          <w:lang w:val="en-US"/>
        </w:rPr>
        <w:t xml:space="preserve"> </w:t>
      </w:r>
      <w:r>
        <w:rPr>
          <w:bCs/>
          <w:lang w:val="en-US"/>
        </w:rPr>
        <w:lastRenderedPageBreak/>
        <w:t xml:space="preserve">jobs were intrinsically higher. If so, the higher turnover rates </w:t>
      </w:r>
      <w:r w:rsidR="00A95B2F">
        <w:rPr>
          <w:bCs/>
          <w:lang w:val="en-US"/>
        </w:rPr>
        <w:t xml:space="preserve">observed </w:t>
      </w:r>
      <w:r>
        <w:rPr>
          <w:bCs/>
          <w:lang w:val="en-US"/>
        </w:rPr>
        <w:t xml:space="preserve">for young workers may be a consequence of </w:t>
      </w:r>
      <w:r w:rsidR="00A95B2F">
        <w:rPr>
          <w:bCs/>
          <w:lang w:val="en-US"/>
        </w:rPr>
        <w:t>their allocation</w:t>
      </w:r>
      <w:r>
        <w:rPr>
          <w:bCs/>
          <w:lang w:val="en-US"/>
        </w:rPr>
        <w:t xml:space="preserve"> to high turnover jobs.</w:t>
      </w:r>
      <w:r w:rsidR="00850034" w:rsidRPr="00850034">
        <w:rPr>
          <w:lang w:val="en-US"/>
        </w:rPr>
        <w:t xml:space="preserve"> </w:t>
      </w:r>
      <w:r w:rsidR="00850034" w:rsidRPr="00295F7F">
        <w:rPr>
          <w:lang w:val="en-US"/>
        </w:rPr>
        <w:t>For instance, young workers may be allocated to high turnover industries, like construction or retail trade.</w:t>
      </w:r>
      <w:r w:rsidR="00850034">
        <w:rPr>
          <w:lang w:val="en-US"/>
        </w:rPr>
        <w:t xml:space="preserve"> </w:t>
      </w:r>
      <w:r w:rsidR="00850034" w:rsidRPr="00295F7F">
        <w:rPr>
          <w:lang w:val="en-US"/>
        </w:rPr>
        <w:t xml:space="preserve">Figure </w:t>
      </w:r>
      <w:r w:rsidR="00A95B2F">
        <w:rPr>
          <w:lang w:val="en-US"/>
        </w:rPr>
        <w:t>9</w:t>
      </w:r>
      <w:r w:rsidR="00850034">
        <w:rPr>
          <w:lang w:val="en-US"/>
        </w:rPr>
        <w:t xml:space="preserve"> </w:t>
      </w:r>
      <w:r w:rsidR="00850034" w:rsidRPr="00295F7F">
        <w:rPr>
          <w:lang w:val="en-US"/>
        </w:rPr>
        <w:t>below confirm</w:t>
      </w:r>
      <w:r w:rsidR="00850034">
        <w:rPr>
          <w:lang w:val="en-US"/>
        </w:rPr>
        <w:t>s</w:t>
      </w:r>
      <w:r w:rsidR="00850034" w:rsidRPr="00295F7F">
        <w:rPr>
          <w:lang w:val="en-US"/>
        </w:rPr>
        <w:t xml:space="preserve"> that th</w:t>
      </w:r>
      <w:r w:rsidR="00867AD0">
        <w:rPr>
          <w:lang w:val="en-US"/>
        </w:rPr>
        <w:t>ere are sharp differences in turnover or churning rates across industries</w:t>
      </w:r>
      <w:r w:rsidR="00850034" w:rsidRPr="00295F7F">
        <w:rPr>
          <w:lang w:val="en-US"/>
        </w:rPr>
        <w:t xml:space="preserve"> in our data.</w:t>
      </w:r>
    </w:p>
    <w:p w:rsidR="00850034" w:rsidRPr="00391F98" w:rsidRDefault="00850034" w:rsidP="00850034">
      <w:pPr>
        <w:spacing w:line="360" w:lineRule="auto"/>
        <w:jc w:val="center"/>
        <w:rPr>
          <w:lang w:val="en-US"/>
        </w:rPr>
      </w:pPr>
      <w:r w:rsidRPr="00295F7F">
        <w:rPr>
          <w:lang w:val="en-US"/>
        </w:rPr>
        <w:t xml:space="preserve">Figure </w:t>
      </w:r>
      <w:r w:rsidR="00A95B2F">
        <w:rPr>
          <w:lang w:val="en-US"/>
        </w:rPr>
        <w:t>9</w:t>
      </w:r>
      <w:r>
        <w:rPr>
          <w:lang w:val="en-US"/>
        </w:rPr>
        <w:t xml:space="preserve"> - </w:t>
      </w:r>
      <w:r w:rsidRPr="00391F98">
        <w:rPr>
          <w:bCs/>
          <w:lang w:val="en-US"/>
        </w:rPr>
        <w:t xml:space="preserve">Labor </w:t>
      </w:r>
      <w:r w:rsidR="00A95B2F">
        <w:rPr>
          <w:bCs/>
          <w:lang w:val="en-US"/>
        </w:rPr>
        <w:t>c</w:t>
      </w:r>
      <w:r w:rsidRPr="00391F98">
        <w:rPr>
          <w:bCs/>
          <w:lang w:val="en-US"/>
        </w:rPr>
        <w:t>hurning and youth employment share by industry</w:t>
      </w:r>
    </w:p>
    <w:p w:rsidR="00850034" w:rsidRPr="00295F7F" w:rsidRDefault="00BB1986" w:rsidP="00850034">
      <w:pPr>
        <w:spacing w:line="360" w:lineRule="auto"/>
        <w:rPr>
          <w:lang w:val="en-US"/>
        </w:rPr>
      </w:pPr>
      <w:r>
        <w:rPr>
          <w:noProof/>
        </w:rPr>
        <w:drawing>
          <wp:inline distT="0" distB="0" distL="0" distR="0">
            <wp:extent cx="5515536" cy="33556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12793" cy="3354006"/>
                    </a:xfrm>
                    <a:prstGeom prst="rect">
                      <a:avLst/>
                    </a:prstGeom>
                    <a:noFill/>
                  </pic:spPr>
                </pic:pic>
              </a:graphicData>
            </a:graphic>
          </wp:inline>
        </w:drawing>
      </w:r>
    </w:p>
    <w:p w:rsidR="00850034" w:rsidRPr="00295F7F" w:rsidRDefault="00A95B2F" w:rsidP="00850034">
      <w:pPr>
        <w:spacing w:line="360" w:lineRule="auto"/>
        <w:rPr>
          <w:lang w:val="en-US"/>
        </w:rPr>
      </w:pPr>
      <w:r w:rsidRPr="00C70305">
        <w:rPr>
          <w:sz w:val="20"/>
          <w:szCs w:val="20"/>
          <w:lang w:val="en-US"/>
        </w:rPr>
        <w:t xml:space="preserve">Source: </w:t>
      </w:r>
      <w:r>
        <w:rPr>
          <w:sz w:val="20"/>
          <w:szCs w:val="20"/>
          <w:lang w:val="en-US"/>
        </w:rPr>
        <w:t>A</w:t>
      </w:r>
      <w:r w:rsidRPr="00C70305">
        <w:rPr>
          <w:sz w:val="20"/>
          <w:szCs w:val="20"/>
          <w:lang w:val="en-US"/>
        </w:rPr>
        <w:t>uthors’ estimates based on RAIS/MTE data.</w:t>
      </w:r>
    </w:p>
    <w:p w:rsidR="00007290" w:rsidRPr="00A95B2F" w:rsidRDefault="00850034" w:rsidP="00A95B2F">
      <w:pPr>
        <w:spacing w:line="360" w:lineRule="auto"/>
        <w:rPr>
          <w:lang w:val="en-US"/>
        </w:rPr>
      </w:pPr>
      <w:r w:rsidRPr="00295F7F">
        <w:rPr>
          <w:lang w:val="en-US"/>
        </w:rPr>
        <w:t xml:space="preserve">In </w:t>
      </w:r>
      <w:r w:rsidR="00A95B2F">
        <w:rPr>
          <w:lang w:val="en-US"/>
        </w:rPr>
        <w:t>F</w:t>
      </w:r>
      <w:r w:rsidRPr="00295F7F">
        <w:rPr>
          <w:lang w:val="en-US"/>
        </w:rPr>
        <w:t xml:space="preserve">igure </w:t>
      </w:r>
      <w:r w:rsidR="00A95B2F">
        <w:rPr>
          <w:lang w:val="en-US"/>
        </w:rPr>
        <w:t>9</w:t>
      </w:r>
      <w:r w:rsidRPr="00295F7F">
        <w:rPr>
          <w:lang w:val="en-US"/>
        </w:rPr>
        <w:t xml:space="preserve"> each point correspond</w:t>
      </w:r>
      <w:r>
        <w:rPr>
          <w:lang w:val="en-US"/>
        </w:rPr>
        <w:t xml:space="preserve">s to </w:t>
      </w:r>
      <w:r w:rsidR="00867AD0">
        <w:rPr>
          <w:lang w:val="en-US"/>
        </w:rPr>
        <w:t>an</w:t>
      </w:r>
      <w:r>
        <w:rPr>
          <w:lang w:val="en-US"/>
        </w:rPr>
        <w:t xml:space="preserve"> industry</w:t>
      </w:r>
      <w:r w:rsidRPr="00295F7F">
        <w:rPr>
          <w:lang w:val="en-US"/>
        </w:rPr>
        <w:t xml:space="preserve">. </w:t>
      </w:r>
      <w:r w:rsidR="00A95B2F">
        <w:rPr>
          <w:lang w:val="en-US"/>
        </w:rPr>
        <w:t>The line represents the linear</w:t>
      </w:r>
      <w:r>
        <w:rPr>
          <w:lang w:val="en-US"/>
        </w:rPr>
        <w:t xml:space="preserve"> correlation between the average turnover (measured by labor churning) and the average share of young workers across industr</w:t>
      </w:r>
      <w:r w:rsidR="00A95B2F">
        <w:rPr>
          <w:lang w:val="en-US"/>
        </w:rPr>
        <w:t>ies between 1998 and 2010. The F</w:t>
      </w:r>
      <w:r>
        <w:rPr>
          <w:lang w:val="en-US"/>
        </w:rPr>
        <w:t>igure clearly shows that</w:t>
      </w:r>
      <w:r w:rsidRPr="00295F7F">
        <w:rPr>
          <w:lang w:val="en-US"/>
        </w:rPr>
        <w:t xml:space="preserve"> establishments in high turnover sectors </w:t>
      </w:r>
      <w:r w:rsidR="00A95B2F">
        <w:rPr>
          <w:lang w:val="en-US"/>
        </w:rPr>
        <w:t xml:space="preserve">tend to </w:t>
      </w:r>
      <w:r w:rsidRPr="00295F7F">
        <w:rPr>
          <w:lang w:val="en-US"/>
        </w:rPr>
        <w:t>employ a higher share of young workers.</w:t>
      </w:r>
      <w:r>
        <w:rPr>
          <w:lang w:val="en-US"/>
        </w:rPr>
        <w:t xml:space="preserve"> Therefore the </w:t>
      </w:r>
      <w:r w:rsidR="00A95B2F">
        <w:rPr>
          <w:lang w:val="en-US"/>
        </w:rPr>
        <w:t>high turnover computed for young</w:t>
      </w:r>
      <w:r>
        <w:rPr>
          <w:lang w:val="en-US"/>
        </w:rPr>
        <w:t xml:space="preserve"> workers may be, at least in part, due to </w:t>
      </w:r>
      <w:r w:rsidR="00A95B2F">
        <w:rPr>
          <w:lang w:val="en-US"/>
        </w:rPr>
        <w:t xml:space="preserve">the </w:t>
      </w:r>
      <w:r>
        <w:rPr>
          <w:lang w:val="en-US"/>
        </w:rPr>
        <w:t xml:space="preserve">allocation of this group </w:t>
      </w:r>
      <w:r w:rsidR="00A95B2F">
        <w:rPr>
          <w:lang w:val="en-US"/>
        </w:rPr>
        <w:t>across industries</w:t>
      </w:r>
      <w:r>
        <w:rPr>
          <w:lang w:val="en-US"/>
        </w:rPr>
        <w:t>.</w:t>
      </w:r>
      <w:r w:rsidR="00221699" w:rsidRPr="00221699">
        <w:rPr>
          <w:lang w:val="en-US"/>
        </w:rPr>
        <w:t xml:space="preserve"> </w:t>
      </w:r>
      <w:r w:rsidR="00221699" w:rsidRPr="00295F7F">
        <w:rPr>
          <w:lang w:val="en-US"/>
        </w:rPr>
        <w:t xml:space="preserve">The main goal of this </w:t>
      </w:r>
      <w:r w:rsidR="00221699">
        <w:rPr>
          <w:lang w:val="en-US"/>
        </w:rPr>
        <w:t>section</w:t>
      </w:r>
      <w:r w:rsidR="00221699" w:rsidRPr="00295F7F">
        <w:rPr>
          <w:lang w:val="en-US"/>
        </w:rPr>
        <w:t xml:space="preserve"> is to </w:t>
      </w:r>
      <w:r w:rsidR="00221699">
        <w:rPr>
          <w:lang w:val="en-US"/>
        </w:rPr>
        <w:t xml:space="preserve">go one step further towards the identification of a direct effect of </w:t>
      </w:r>
      <w:r w:rsidR="00221699" w:rsidRPr="00295F7F">
        <w:rPr>
          <w:lang w:val="en-US"/>
        </w:rPr>
        <w:t>age on turnover.</w:t>
      </w:r>
    </w:p>
    <w:p w:rsidR="00473188" w:rsidRPr="005E5A66" w:rsidRDefault="00212EB0" w:rsidP="00BD7D66">
      <w:pPr>
        <w:spacing w:line="360" w:lineRule="auto"/>
        <w:rPr>
          <w:i/>
          <w:lang w:val="en-US"/>
        </w:rPr>
      </w:pPr>
      <w:r>
        <w:rPr>
          <w:bCs/>
          <w:i/>
          <w:lang w:val="en-US"/>
        </w:rPr>
        <w:t>6</w:t>
      </w:r>
      <w:r w:rsidR="005E5A66" w:rsidRPr="005E5A66">
        <w:rPr>
          <w:bCs/>
          <w:i/>
          <w:lang w:val="en-US"/>
        </w:rPr>
        <w:t>.1.</w:t>
      </w:r>
      <w:r w:rsidR="00473188" w:rsidRPr="005E5A66">
        <w:rPr>
          <w:bCs/>
          <w:i/>
          <w:lang w:val="en-US"/>
        </w:rPr>
        <w:t xml:space="preserve"> </w:t>
      </w:r>
      <w:r w:rsidR="005E5A66">
        <w:rPr>
          <w:bCs/>
          <w:i/>
          <w:lang w:val="en-US"/>
        </w:rPr>
        <w:t>Variance Decomposition</w:t>
      </w:r>
    </w:p>
    <w:p w:rsidR="007701D2" w:rsidRDefault="00611BEE" w:rsidP="007701D2">
      <w:pPr>
        <w:spacing w:line="360" w:lineRule="auto"/>
        <w:rPr>
          <w:lang w:val="en-US"/>
        </w:rPr>
      </w:pPr>
      <w:r>
        <w:rPr>
          <w:lang w:val="en-US"/>
        </w:rPr>
        <w:t xml:space="preserve">The </w:t>
      </w:r>
      <w:r w:rsidR="007701D2">
        <w:rPr>
          <w:lang w:val="en-US"/>
        </w:rPr>
        <w:t xml:space="preserve">argument </w:t>
      </w:r>
      <w:r>
        <w:rPr>
          <w:lang w:val="en-US"/>
        </w:rPr>
        <w:t xml:space="preserve">developed above </w:t>
      </w:r>
      <w:r w:rsidR="007701D2">
        <w:rPr>
          <w:lang w:val="en-US"/>
        </w:rPr>
        <w:t xml:space="preserve">may be generalized to other </w:t>
      </w:r>
      <w:r w:rsidR="007701D2" w:rsidRPr="00295F7F">
        <w:rPr>
          <w:lang w:val="en-US"/>
        </w:rPr>
        <w:t>establishment</w:t>
      </w:r>
      <w:r w:rsidR="007701D2">
        <w:rPr>
          <w:lang w:val="en-US"/>
        </w:rPr>
        <w:t>s’</w:t>
      </w:r>
      <w:r w:rsidR="007701D2" w:rsidRPr="00295F7F">
        <w:rPr>
          <w:lang w:val="en-US"/>
        </w:rPr>
        <w:t xml:space="preserve"> observable characteristics</w:t>
      </w:r>
      <w:r w:rsidR="007701D2">
        <w:rPr>
          <w:lang w:val="en-US"/>
        </w:rPr>
        <w:t xml:space="preserve">. </w:t>
      </w:r>
      <w:r w:rsidR="003361D4">
        <w:rPr>
          <w:lang w:val="en-US"/>
        </w:rPr>
        <w:t xml:space="preserve">In order to </w:t>
      </w:r>
      <w:r w:rsidR="007701D2">
        <w:rPr>
          <w:lang w:val="en-US"/>
        </w:rPr>
        <w:t xml:space="preserve">expand the analysis to a multi-dimensional approach, we </w:t>
      </w:r>
      <w:r w:rsidR="00867AD0">
        <w:rPr>
          <w:lang w:val="en-US"/>
        </w:rPr>
        <w:t>first</w:t>
      </w:r>
      <w:r w:rsidR="003361D4">
        <w:rPr>
          <w:lang w:val="en-US"/>
        </w:rPr>
        <w:t xml:space="preserve"> </w:t>
      </w:r>
      <w:r w:rsidR="007701D2">
        <w:rPr>
          <w:lang w:val="en-US"/>
        </w:rPr>
        <w:t xml:space="preserve">perform a </w:t>
      </w:r>
      <w:r w:rsidR="00521E06">
        <w:rPr>
          <w:lang w:val="en-US"/>
        </w:rPr>
        <w:t xml:space="preserve">traditional </w:t>
      </w:r>
      <w:r w:rsidR="007701D2">
        <w:rPr>
          <w:lang w:val="en-US"/>
        </w:rPr>
        <w:t xml:space="preserve">within-between variance decomposition. Worker and job flow </w:t>
      </w:r>
      <w:r w:rsidR="007701D2">
        <w:rPr>
          <w:lang w:val="en-US"/>
        </w:rPr>
        <w:lastRenderedPageBreak/>
        <w:t xml:space="preserve">metrics are calculated for cells defined </w:t>
      </w:r>
      <w:r w:rsidR="003361D4">
        <w:rPr>
          <w:lang w:val="en-US"/>
        </w:rPr>
        <w:t>by</w:t>
      </w:r>
      <w:r w:rsidR="007701D2">
        <w:rPr>
          <w:lang w:val="en-US"/>
        </w:rPr>
        <w:t xml:space="preserve"> </w:t>
      </w:r>
      <w:r w:rsidR="00867AD0">
        <w:rPr>
          <w:lang w:val="en-US"/>
        </w:rPr>
        <w:t xml:space="preserve">a </w:t>
      </w:r>
      <w:r w:rsidR="003361D4">
        <w:rPr>
          <w:lang w:val="en-US"/>
        </w:rPr>
        <w:t xml:space="preserve">combination of </w:t>
      </w:r>
      <w:r w:rsidR="007701D2">
        <w:rPr>
          <w:lang w:val="en-US"/>
        </w:rPr>
        <w:t>the following characteristics: industry, workers’ age, establishment</w:t>
      </w:r>
      <w:r w:rsidR="003361D4">
        <w:rPr>
          <w:lang w:val="en-US"/>
        </w:rPr>
        <w:t>s’</w:t>
      </w:r>
      <w:r w:rsidR="007701D2">
        <w:rPr>
          <w:lang w:val="en-US"/>
        </w:rPr>
        <w:t xml:space="preserve"> age, establishment size and year.</w:t>
      </w:r>
      <w:r w:rsidR="007701D2">
        <w:rPr>
          <w:rStyle w:val="Refdenotaderodap"/>
          <w:lang w:val="en-US"/>
        </w:rPr>
        <w:footnoteReference w:id="17"/>
      </w:r>
      <w:r w:rsidR="007701D2">
        <w:rPr>
          <w:lang w:val="en-US"/>
        </w:rPr>
        <w:t xml:space="preserve"> These measures are then regressed </w:t>
      </w:r>
      <w:r w:rsidR="003361D4">
        <w:rPr>
          <w:lang w:val="en-US"/>
        </w:rPr>
        <w:t xml:space="preserve">against </w:t>
      </w:r>
      <w:r w:rsidR="007701D2">
        <w:rPr>
          <w:lang w:val="en-US"/>
        </w:rPr>
        <w:t>a series of dummies for the characteristic</w:t>
      </w:r>
      <w:r w:rsidR="003361D4">
        <w:rPr>
          <w:lang w:val="en-US"/>
        </w:rPr>
        <w:t xml:space="preserve">s </w:t>
      </w:r>
      <w:r w:rsidR="007701D2">
        <w:rPr>
          <w:lang w:val="en-US"/>
        </w:rPr>
        <w:t xml:space="preserve">according to the following model. </w:t>
      </w:r>
    </w:p>
    <w:p w:rsidR="007701D2" w:rsidRPr="003361D4" w:rsidRDefault="007701D2" w:rsidP="007701D2">
      <w:pPr>
        <w:spacing w:line="360" w:lineRule="auto"/>
        <w:rPr>
          <w:lang w:val="en-US"/>
        </w:rPr>
      </w:pPr>
      <w:proofErr w:type="spellStart"/>
      <w:r w:rsidRPr="002B0AE2">
        <w:rPr>
          <w:i/>
          <w:lang w:val="en-US"/>
        </w:rPr>
        <w:t>Y</w:t>
      </w:r>
      <w:r w:rsidRPr="002B0AE2">
        <w:rPr>
          <w:i/>
          <w:vertAlign w:val="subscript"/>
          <w:lang w:val="en-US"/>
        </w:rPr>
        <w:t>a</w:t>
      </w:r>
      <w:proofErr w:type="gramStart"/>
      <w:r w:rsidRPr="002B0AE2">
        <w:rPr>
          <w:i/>
          <w:vertAlign w:val="subscript"/>
          <w:lang w:val="en-US"/>
        </w:rPr>
        <w:t>,j,k,m,t</w:t>
      </w:r>
      <w:proofErr w:type="spellEnd"/>
      <w:proofErr w:type="gramEnd"/>
      <w:r w:rsidRPr="002B0AE2">
        <w:rPr>
          <w:i/>
          <w:lang w:val="en-US"/>
        </w:rPr>
        <w:t xml:space="preserve"> = α</w:t>
      </w:r>
      <w:r w:rsidRPr="002B0AE2">
        <w:rPr>
          <w:i/>
          <w:vertAlign w:val="subscript"/>
          <w:lang w:val="en-US"/>
        </w:rPr>
        <w:t xml:space="preserve">a </w:t>
      </w:r>
      <w:r w:rsidRPr="002B0AE2">
        <w:rPr>
          <w:i/>
          <w:lang w:val="en-US"/>
        </w:rPr>
        <w:t>+ β</w:t>
      </w:r>
      <w:r w:rsidRPr="002B0AE2">
        <w:rPr>
          <w:i/>
          <w:vertAlign w:val="subscript"/>
          <w:lang w:val="en-US"/>
        </w:rPr>
        <w:t xml:space="preserve"> j</w:t>
      </w:r>
      <w:r w:rsidRPr="002B0AE2">
        <w:rPr>
          <w:i/>
          <w:lang w:val="en-US"/>
        </w:rPr>
        <w:t xml:space="preserve"> + δ</w:t>
      </w:r>
      <w:r w:rsidRPr="002B0AE2">
        <w:rPr>
          <w:i/>
          <w:vertAlign w:val="subscript"/>
          <w:lang w:val="en-US"/>
        </w:rPr>
        <w:t xml:space="preserve"> k</w:t>
      </w:r>
      <w:r w:rsidRPr="002B0AE2">
        <w:rPr>
          <w:i/>
          <w:lang w:val="en-US"/>
        </w:rPr>
        <w:t xml:space="preserve"> + θ</w:t>
      </w:r>
      <w:r w:rsidRPr="002B0AE2">
        <w:rPr>
          <w:i/>
          <w:vertAlign w:val="subscript"/>
          <w:lang w:val="en-US"/>
        </w:rPr>
        <w:t xml:space="preserve"> m </w:t>
      </w:r>
      <w:r w:rsidRPr="002B0AE2">
        <w:rPr>
          <w:i/>
          <w:lang w:val="en-US"/>
        </w:rPr>
        <w:t>+ λ</w:t>
      </w:r>
      <w:r w:rsidRPr="002B0AE2">
        <w:rPr>
          <w:i/>
          <w:vertAlign w:val="subscript"/>
          <w:lang w:val="en-US"/>
        </w:rPr>
        <w:t xml:space="preserve"> </w:t>
      </w:r>
      <w:r w:rsidR="003361D4">
        <w:rPr>
          <w:i/>
          <w:vertAlign w:val="subscript"/>
          <w:lang w:val="en-US"/>
        </w:rPr>
        <w:t>t</w:t>
      </w:r>
      <w:r w:rsidRPr="002B0AE2">
        <w:rPr>
          <w:i/>
          <w:lang w:val="en-US"/>
        </w:rPr>
        <w:t xml:space="preserve"> + </w:t>
      </w:r>
      <w:proofErr w:type="spellStart"/>
      <w:r w:rsidRPr="002B0AE2">
        <w:rPr>
          <w:i/>
          <w:lang w:val="en-US"/>
        </w:rPr>
        <w:t>ε</w:t>
      </w:r>
      <w:r w:rsidRPr="002B0AE2">
        <w:rPr>
          <w:i/>
          <w:vertAlign w:val="subscript"/>
          <w:lang w:val="en-US"/>
        </w:rPr>
        <w:t>a,j,k,m,t</w:t>
      </w:r>
      <w:proofErr w:type="spellEnd"/>
      <w:r w:rsidR="003361D4">
        <w:rPr>
          <w:lang w:val="en-US"/>
        </w:rPr>
        <w:t>,</w:t>
      </w:r>
    </w:p>
    <w:p w:rsidR="007701D2" w:rsidRPr="0003443E" w:rsidRDefault="003361D4" w:rsidP="007701D2">
      <w:pPr>
        <w:spacing w:line="360" w:lineRule="auto"/>
        <w:rPr>
          <w:lang w:val="en-US"/>
        </w:rPr>
      </w:pPr>
      <w:r>
        <w:rPr>
          <w:lang w:val="en-US"/>
        </w:rPr>
        <w:t xml:space="preserve">where </w:t>
      </w:r>
      <w:proofErr w:type="spellStart"/>
      <w:r w:rsidR="007701D2" w:rsidRPr="002B0AE2">
        <w:rPr>
          <w:i/>
          <w:lang w:val="en-US"/>
        </w:rPr>
        <w:t>Y</w:t>
      </w:r>
      <w:r w:rsidR="007701D2" w:rsidRPr="002B0AE2">
        <w:rPr>
          <w:i/>
          <w:vertAlign w:val="subscript"/>
          <w:lang w:val="en-US"/>
        </w:rPr>
        <w:t>a,j,k,m,t</w:t>
      </w:r>
      <w:proofErr w:type="spellEnd"/>
      <w:r w:rsidR="007701D2" w:rsidRPr="0003443E">
        <w:rPr>
          <w:lang w:val="en-US"/>
        </w:rPr>
        <w:t xml:space="preserve"> represents </w:t>
      </w:r>
      <w:r w:rsidR="007701D2">
        <w:rPr>
          <w:lang w:val="en-US"/>
        </w:rPr>
        <w:t>a measure of either job or worker flow computed for the cell defined for</w:t>
      </w:r>
      <w:r w:rsidR="007701D2" w:rsidRPr="0003443E">
        <w:rPr>
          <w:lang w:val="en-US"/>
        </w:rPr>
        <w:t xml:space="preserve"> worker </w:t>
      </w:r>
      <w:r>
        <w:rPr>
          <w:lang w:val="en-US"/>
        </w:rPr>
        <w:t xml:space="preserve">of </w:t>
      </w:r>
      <w:r w:rsidR="007701D2" w:rsidRPr="0003443E">
        <w:rPr>
          <w:lang w:val="en-US"/>
        </w:rPr>
        <w:t>age</w:t>
      </w:r>
      <w:r w:rsidR="007701D2">
        <w:rPr>
          <w:lang w:val="en-US"/>
        </w:rPr>
        <w:t xml:space="preserve"> “a”</w:t>
      </w:r>
      <w:r w:rsidR="007701D2" w:rsidRPr="0003443E">
        <w:rPr>
          <w:lang w:val="en-US"/>
        </w:rPr>
        <w:t>,</w:t>
      </w:r>
      <w:r w:rsidR="007701D2">
        <w:rPr>
          <w:lang w:val="en-US"/>
        </w:rPr>
        <w:t xml:space="preserve"> industry “j”, plant age “k”, size “m”</w:t>
      </w:r>
      <w:r>
        <w:rPr>
          <w:lang w:val="en-US"/>
        </w:rPr>
        <w:t>,</w:t>
      </w:r>
      <w:r w:rsidR="007701D2" w:rsidRPr="0003443E">
        <w:rPr>
          <w:lang w:val="en-US"/>
        </w:rPr>
        <w:t xml:space="preserve"> </w:t>
      </w:r>
      <w:r w:rsidR="007701D2">
        <w:rPr>
          <w:lang w:val="en-US"/>
        </w:rPr>
        <w:t xml:space="preserve">and year “t”. In the right hand side we have the terms capturing the effects of each of these variables, plus a cell idiosyncratic non-observable component.  </w:t>
      </w:r>
    </w:p>
    <w:p w:rsidR="007701D2" w:rsidRDefault="007701D2" w:rsidP="007701D2">
      <w:pPr>
        <w:spacing w:line="360" w:lineRule="auto"/>
        <w:rPr>
          <w:lang w:val="en-US"/>
        </w:rPr>
      </w:pPr>
      <w:r>
        <w:rPr>
          <w:lang w:val="en-US"/>
        </w:rPr>
        <w:t xml:space="preserve">Table </w:t>
      </w:r>
      <w:r w:rsidR="00CD34A6">
        <w:rPr>
          <w:lang w:val="en-US"/>
        </w:rPr>
        <w:t>2</w:t>
      </w:r>
      <w:r>
        <w:rPr>
          <w:lang w:val="en-US"/>
        </w:rPr>
        <w:t xml:space="preserve"> below presents the variance decomposition results for each job and worker flow measure. The </w:t>
      </w:r>
      <w:r w:rsidR="00CD34A6">
        <w:rPr>
          <w:lang w:val="en-US"/>
        </w:rPr>
        <w:t>T</w:t>
      </w:r>
      <w:r>
        <w:rPr>
          <w:lang w:val="en-US"/>
        </w:rPr>
        <w:t>able reports the explanatory power of each characteristic, measured as the characteristic mean square divided by the regression mean square. We use mean squares instead of just squares in order to control for the higher explanatory power of characteristics with more degrees of freedom. Characteristics that explain twice the regression mean square are</w:t>
      </w:r>
      <w:r w:rsidRPr="005B28BC">
        <w:rPr>
          <w:lang w:val="en-US"/>
        </w:rPr>
        <w:t xml:space="preserve"> </w:t>
      </w:r>
      <w:r>
        <w:rPr>
          <w:lang w:val="en-US"/>
        </w:rPr>
        <w:t xml:space="preserve">highlighted in </w:t>
      </w:r>
      <w:r w:rsidR="00611BEE">
        <w:rPr>
          <w:lang w:val="en-US"/>
        </w:rPr>
        <w:t>gray</w:t>
      </w:r>
      <w:r>
        <w:rPr>
          <w:lang w:val="en-US"/>
        </w:rPr>
        <w:t>.</w:t>
      </w:r>
    </w:p>
    <w:p w:rsidR="00E64C6A" w:rsidRDefault="00E64C6A" w:rsidP="00BD7D66">
      <w:pPr>
        <w:spacing w:line="360" w:lineRule="auto"/>
        <w:rPr>
          <w:lang w:val="en-US"/>
        </w:rPr>
      </w:pPr>
    </w:p>
    <w:p w:rsidR="00007290" w:rsidRPr="00007290" w:rsidRDefault="00CD34A6" w:rsidP="00007290">
      <w:pPr>
        <w:spacing w:before="0"/>
        <w:jc w:val="left"/>
        <w:rPr>
          <w:lang w:val="en-US"/>
        </w:rPr>
      </w:pPr>
      <w:r>
        <w:rPr>
          <w:lang w:val="en-US"/>
        </w:rPr>
        <w:t>Table 2</w:t>
      </w:r>
      <w:r w:rsidR="006C3E6D">
        <w:rPr>
          <w:lang w:val="en-US"/>
        </w:rPr>
        <w:t xml:space="preserve"> – </w:t>
      </w:r>
      <w:r w:rsidR="00007290">
        <w:rPr>
          <w:lang w:val="en-US"/>
        </w:rPr>
        <w:t>W</w:t>
      </w:r>
      <w:r w:rsidR="006C3E6D">
        <w:rPr>
          <w:lang w:val="en-US"/>
        </w:rPr>
        <w:t>orker flow metrics within</w:t>
      </w:r>
      <w:r>
        <w:rPr>
          <w:lang w:val="en-US"/>
        </w:rPr>
        <w:t>-</w:t>
      </w:r>
      <w:r w:rsidR="006C3E6D">
        <w:rPr>
          <w:lang w:val="en-US"/>
        </w:rPr>
        <w:t xml:space="preserve"> and between</w:t>
      </w:r>
      <w:r>
        <w:rPr>
          <w:lang w:val="en-US"/>
        </w:rPr>
        <w:t>-</w:t>
      </w:r>
      <w:r w:rsidR="006C3E6D">
        <w:rPr>
          <w:lang w:val="en-US"/>
        </w:rPr>
        <w:t>characteristics variance decomposition</w:t>
      </w:r>
      <w:r w:rsidR="008606D1">
        <w:rPr>
          <w:noProof/>
        </w:rPr>
        <w:fldChar w:fldCharType="begin"/>
      </w:r>
      <w:r w:rsidR="00007290" w:rsidRPr="00007290">
        <w:rPr>
          <w:noProof/>
          <w:lang w:val="en-US"/>
        </w:rPr>
        <w:instrText xml:space="preserve"> LINK </w:instrText>
      </w:r>
      <w:r w:rsidR="001E19F2">
        <w:rPr>
          <w:noProof/>
          <w:lang w:val="en-US"/>
        </w:rPr>
        <w:instrText xml:space="preserve">Excel.Sheet.12 "C:\\kiko\\CEDLAS\\Cópia de Projeto jovens final_4mar13.xlsx" decomp!L26C1:L37C6 </w:instrText>
      </w:r>
      <w:r w:rsidR="00007290" w:rsidRPr="00007290">
        <w:rPr>
          <w:noProof/>
          <w:lang w:val="en-US"/>
        </w:rPr>
        <w:instrText xml:space="preserve">\a \f 4 \h </w:instrText>
      </w:r>
      <w:r>
        <w:rPr>
          <w:noProof/>
          <w:lang w:val="en-US"/>
        </w:rPr>
        <w:instrText xml:space="preserve"> \* MERGEFORMAT </w:instrText>
      </w:r>
      <w:r w:rsidR="008606D1">
        <w:rPr>
          <w:noProof/>
        </w:rPr>
        <w:fldChar w:fldCharType="separate"/>
      </w:r>
    </w:p>
    <w:tbl>
      <w:tblPr>
        <w:tblW w:w="8533" w:type="dxa"/>
        <w:tblInd w:w="70" w:type="dxa"/>
        <w:tblCellMar>
          <w:left w:w="70" w:type="dxa"/>
          <w:right w:w="70" w:type="dxa"/>
        </w:tblCellMar>
        <w:tblLook w:val="04A0" w:firstRow="1" w:lastRow="0" w:firstColumn="1" w:lastColumn="0" w:noHBand="0" w:noVBand="1"/>
      </w:tblPr>
      <w:tblGrid>
        <w:gridCol w:w="1212"/>
        <w:gridCol w:w="1414"/>
        <w:gridCol w:w="1641"/>
        <w:gridCol w:w="1388"/>
        <w:gridCol w:w="1464"/>
        <w:gridCol w:w="1414"/>
      </w:tblGrid>
      <w:tr w:rsidR="00007290" w:rsidRPr="00007290" w:rsidTr="00CD34A6">
        <w:trPr>
          <w:trHeight w:val="318"/>
        </w:trPr>
        <w:tc>
          <w:tcPr>
            <w:tcW w:w="1212" w:type="dxa"/>
            <w:tcBorders>
              <w:top w:val="nil"/>
              <w:left w:val="nil"/>
              <w:bottom w:val="single" w:sz="4" w:space="0" w:color="auto"/>
              <w:right w:val="nil"/>
            </w:tcBorders>
            <w:shd w:val="clear" w:color="auto" w:fill="auto"/>
            <w:noWrap/>
            <w:vAlign w:val="bottom"/>
            <w:hideMark/>
          </w:tcPr>
          <w:p w:rsidR="00007290" w:rsidRPr="00007290" w:rsidRDefault="00007290" w:rsidP="00007290">
            <w:pPr>
              <w:spacing w:before="0"/>
              <w:jc w:val="left"/>
              <w:rPr>
                <w:rFonts w:ascii="Times" w:hAnsi="Times" w:cs="Times"/>
                <w:color w:val="000000"/>
                <w:lang w:val="en-US"/>
              </w:rPr>
            </w:pPr>
            <w:r w:rsidRPr="00007290">
              <w:rPr>
                <w:rFonts w:ascii="Times" w:hAnsi="Times" w:cs="Times"/>
                <w:color w:val="000000"/>
                <w:lang w:val="en-US"/>
              </w:rPr>
              <w:t> </w:t>
            </w:r>
          </w:p>
        </w:tc>
        <w:tc>
          <w:tcPr>
            <w:tcW w:w="1414" w:type="dxa"/>
            <w:tcBorders>
              <w:top w:val="nil"/>
              <w:left w:val="nil"/>
              <w:bottom w:val="single" w:sz="4" w:space="0" w:color="auto"/>
              <w:right w:val="nil"/>
            </w:tcBorders>
            <w:shd w:val="clear" w:color="auto" w:fill="auto"/>
            <w:noWrap/>
            <w:vAlign w:val="bottom"/>
            <w:hideMark/>
          </w:tcPr>
          <w:p w:rsidR="00007290" w:rsidRPr="00007290" w:rsidRDefault="00007290" w:rsidP="00007290">
            <w:pPr>
              <w:spacing w:before="0"/>
              <w:jc w:val="center"/>
              <w:rPr>
                <w:rFonts w:ascii="Times" w:hAnsi="Times" w:cs="Times"/>
                <w:b/>
                <w:bCs/>
                <w:color w:val="000000"/>
              </w:rPr>
            </w:pPr>
            <w:proofErr w:type="spellStart"/>
            <w:r w:rsidRPr="00007290">
              <w:rPr>
                <w:rFonts w:ascii="Times" w:hAnsi="Times" w:cs="Times"/>
                <w:b/>
                <w:bCs/>
                <w:color w:val="000000"/>
              </w:rPr>
              <w:t>Year</w:t>
            </w:r>
            <w:proofErr w:type="spellEnd"/>
          </w:p>
        </w:tc>
        <w:tc>
          <w:tcPr>
            <w:tcW w:w="1641" w:type="dxa"/>
            <w:tcBorders>
              <w:top w:val="nil"/>
              <w:left w:val="nil"/>
              <w:bottom w:val="single" w:sz="4" w:space="0" w:color="auto"/>
              <w:right w:val="nil"/>
            </w:tcBorders>
            <w:shd w:val="clear" w:color="auto" w:fill="auto"/>
            <w:noWrap/>
            <w:vAlign w:val="bottom"/>
            <w:hideMark/>
          </w:tcPr>
          <w:p w:rsidR="00007290" w:rsidRPr="00007290" w:rsidRDefault="00007290" w:rsidP="00007290">
            <w:pPr>
              <w:spacing w:before="0"/>
              <w:jc w:val="center"/>
              <w:rPr>
                <w:rFonts w:ascii="Times" w:hAnsi="Times" w:cs="Times"/>
                <w:b/>
                <w:bCs/>
                <w:color w:val="000000"/>
              </w:rPr>
            </w:pPr>
            <w:proofErr w:type="spellStart"/>
            <w:r w:rsidRPr="00007290">
              <w:rPr>
                <w:rFonts w:ascii="Times" w:hAnsi="Times" w:cs="Times"/>
                <w:b/>
                <w:bCs/>
                <w:color w:val="000000"/>
              </w:rPr>
              <w:t>Worker</w:t>
            </w:r>
            <w:proofErr w:type="spellEnd"/>
            <w:r w:rsidRPr="00007290">
              <w:rPr>
                <w:rFonts w:ascii="Times" w:hAnsi="Times" w:cs="Times"/>
                <w:b/>
                <w:bCs/>
                <w:color w:val="000000"/>
              </w:rPr>
              <w:t xml:space="preserve"> age</w:t>
            </w:r>
          </w:p>
        </w:tc>
        <w:tc>
          <w:tcPr>
            <w:tcW w:w="1388" w:type="dxa"/>
            <w:tcBorders>
              <w:top w:val="nil"/>
              <w:left w:val="nil"/>
              <w:bottom w:val="single" w:sz="4" w:space="0" w:color="auto"/>
              <w:right w:val="nil"/>
            </w:tcBorders>
            <w:shd w:val="clear" w:color="auto" w:fill="auto"/>
            <w:noWrap/>
            <w:vAlign w:val="bottom"/>
            <w:hideMark/>
          </w:tcPr>
          <w:p w:rsidR="00007290" w:rsidRPr="00007290" w:rsidRDefault="00007290" w:rsidP="00007290">
            <w:pPr>
              <w:spacing w:before="0"/>
              <w:jc w:val="center"/>
              <w:rPr>
                <w:rFonts w:ascii="Times" w:hAnsi="Times" w:cs="Times"/>
                <w:b/>
                <w:bCs/>
                <w:color w:val="000000"/>
              </w:rPr>
            </w:pPr>
            <w:proofErr w:type="spellStart"/>
            <w:r w:rsidRPr="00007290">
              <w:rPr>
                <w:rFonts w:ascii="Times" w:hAnsi="Times" w:cs="Times"/>
                <w:b/>
                <w:bCs/>
                <w:color w:val="000000"/>
              </w:rPr>
              <w:t>Firm</w:t>
            </w:r>
            <w:proofErr w:type="spellEnd"/>
            <w:r w:rsidRPr="00007290">
              <w:rPr>
                <w:rFonts w:ascii="Times" w:hAnsi="Times" w:cs="Times"/>
                <w:b/>
                <w:bCs/>
                <w:color w:val="000000"/>
              </w:rPr>
              <w:t xml:space="preserve"> </w:t>
            </w:r>
            <w:proofErr w:type="spellStart"/>
            <w:r w:rsidRPr="00007290">
              <w:rPr>
                <w:rFonts w:ascii="Times" w:hAnsi="Times" w:cs="Times"/>
                <w:b/>
                <w:bCs/>
                <w:color w:val="000000"/>
              </w:rPr>
              <w:t>size</w:t>
            </w:r>
            <w:proofErr w:type="spellEnd"/>
          </w:p>
        </w:tc>
        <w:tc>
          <w:tcPr>
            <w:tcW w:w="1464" w:type="dxa"/>
            <w:tcBorders>
              <w:top w:val="nil"/>
              <w:left w:val="nil"/>
              <w:bottom w:val="single" w:sz="4" w:space="0" w:color="auto"/>
              <w:right w:val="nil"/>
            </w:tcBorders>
            <w:shd w:val="clear" w:color="auto" w:fill="auto"/>
            <w:noWrap/>
            <w:vAlign w:val="bottom"/>
            <w:hideMark/>
          </w:tcPr>
          <w:p w:rsidR="00007290" w:rsidRPr="00007290" w:rsidRDefault="00007290" w:rsidP="00007290">
            <w:pPr>
              <w:spacing w:before="0"/>
              <w:jc w:val="center"/>
              <w:rPr>
                <w:rFonts w:ascii="Times" w:hAnsi="Times" w:cs="Times"/>
                <w:b/>
                <w:bCs/>
                <w:color w:val="000000"/>
              </w:rPr>
            </w:pPr>
            <w:proofErr w:type="spellStart"/>
            <w:r w:rsidRPr="00007290">
              <w:rPr>
                <w:rFonts w:ascii="Times" w:hAnsi="Times" w:cs="Times"/>
                <w:b/>
                <w:bCs/>
                <w:color w:val="000000"/>
              </w:rPr>
              <w:t>Firm</w:t>
            </w:r>
            <w:proofErr w:type="spellEnd"/>
            <w:r w:rsidRPr="00007290">
              <w:rPr>
                <w:rFonts w:ascii="Times" w:hAnsi="Times" w:cs="Times"/>
                <w:b/>
                <w:bCs/>
                <w:color w:val="000000"/>
              </w:rPr>
              <w:t xml:space="preserve"> age</w:t>
            </w:r>
          </w:p>
        </w:tc>
        <w:tc>
          <w:tcPr>
            <w:tcW w:w="1414" w:type="dxa"/>
            <w:tcBorders>
              <w:top w:val="nil"/>
              <w:left w:val="nil"/>
              <w:bottom w:val="single" w:sz="4" w:space="0" w:color="auto"/>
              <w:right w:val="nil"/>
            </w:tcBorders>
            <w:shd w:val="clear" w:color="auto" w:fill="auto"/>
            <w:noWrap/>
            <w:vAlign w:val="bottom"/>
            <w:hideMark/>
          </w:tcPr>
          <w:p w:rsidR="00007290" w:rsidRPr="00007290" w:rsidRDefault="00007290" w:rsidP="00007290">
            <w:pPr>
              <w:spacing w:before="0"/>
              <w:jc w:val="center"/>
              <w:rPr>
                <w:rFonts w:ascii="Times" w:hAnsi="Times" w:cs="Times"/>
                <w:b/>
                <w:bCs/>
                <w:color w:val="000000"/>
              </w:rPr>
            </w:pPr>
            <w:r w:rsidRPr="00007290">
              <w:rPr>
                <w:rFonts w:ascii="Times" w:hAnsi="Times" w:cs="Times"/>
                <w:b/>
                <w:bCs/>
                <w:color w:val="000000"/>
              </w:rPr>
              <w:t>Sector</w:t>
            </w:r>
          </w:p>
        </w:tc>
      </w:tr>
      <w:tr w:rsidR="00007290" w:rsidRPr="00007290" w:rsidTr="00CD34A6">
        <w:trPr>
          <w:trHeight w:val="318"/>
        </w:trPr>
        <w:tc>
          <w:tcPr>
            <w:tcW w:w="1212" w:type="dxa"/>
            <w:tcBorders>
              <w:top w:val="nil"/>
              <w:left w:val="nil"/>
              <w:bottom w:val="nil"/>
              <w:right w:val="nil"/>
            </w:tcBorders>
            <w:shd w:val="clear" w:color="auto" w:fill="auto"/>
            <w:noWrap/>
            <w:vAlign w:val="bottom"/>
            <w:hideMark/>
          </w:tcPr>
          <w:p w:rsidR="00007290" w:rsidRPr="00007290" w:rsidRDefault="00CD34A6" w:rsidP="00CD34A6">
            <w:pPr>
              <w:spacing w:before="0"/>
              <w:jc w:val="left"/>
              <w:rPr>
                <w:rFonts w:ascii="Times" w:hAnsi="Times" w:cs="Times"/>
                <w:color w:val="000000"/>
              </w:rPr>
            </w:pPr>
            <w:r>
              <w:rPr>
                <w:rFonts w:ascii="Times" w:hAnsi="Times" w:cs="Times"/>
                <w:color w:val="000000"/>
              </w:rPr>
              <w:t>NET</w:t>
            </w:r>
          </w:p>
        </w:tc>
        <w:tc>
          <w:tcPr>
            <w:tcW w:w="1414" w:type="dxa"/>
            <w:tcBorders>
              <w:top w:val="nil"/>
              <w:left w:val="nil"/>
              <w:bottom w:val="nil"/>
              <w:right w:val="nil"/>
            </w:tcBorders>
            <w:shd w:val="clear" w:color="auto" w:fill="auto"/>
            <w:noWrap/>
            <w:vAlign w:val="bottom"/>
            <w:hideMark/>
          </w:tcPr>
          <w:p w:rsidR="00007290" w:rsidRPr="00007290" w:rsidRDefault="00007290" w:rsidP="00007290">
            <w:pPr>
              <w:spacing w:before="0"/>
              <w:jc w:val="center"/>
              <w:rPr>
                <w:rFonts w:ascii="Times" w:hAnsi="Times" w:cs="Times"/>
                <w:color w:val="000000"/>
              </w:rPr>
            </w:pPr>
            <w:r w:rsidRPr="00007290">
              <w:rPr>
                <w:rFonts w:ascii="Times" w:hAnsi="Times" w:cs="Times"/>
                <w:color w:val="000000"/>
              </w:rPr>
              <w:t>0,48</w:t>
            </w:r>
          </w:p>
        </w:tc>
        <w:tc>
          <w:tcPr>
            <w:tcW w:w="1641" w:type="dxa"/>
            <w:tcBorders>
              <w:top w:val="nil"/>
              <w:left w:val="nil"/>
              <w:bottom w:val="nil"/>
              <w:right w:val="nil"/>
            </w:tcBorders>
            <w:shd w:val="clear" w:color="000000" w:fill="A6A6A6"/>
            <w:noWrap/>
            <w:vAlign w:val="bottom"/>
            <w:hideMark/>
          </w:tcPr>
          <w:p w:rsidR="00007290" w:rsidRPr="00007290" w:rsidRDefault="00007290" w:rsidP="00007290">
            <w:pPr>
              <w:spacing w:before="0"/>
              <w:jc w:val="center"/>
              <w:rPr>
                <w:rFonts w:ascii="Times" w:hAnsi="Times" w:cs="Times"/>
                <w:color w:val="000000"/>
              </w:rPr>
            </w:pPr>
            <w:r w:rsidRPr="00007290">
              <w:rPr>
                <w:rFonts w:ascii="Times" w:hAnsi="Times" w:cs="Times"/>
                <w:color w:val="000000"/>
              </w:rPr>
              <w:t>10,32</w:t>
            </w:r>
          </w:p>
        </w:tc>
        <w:tc>
          <w:tcPr>
            <w:tcW w:w="1388" w:type="dxa"/>
            <w:tcBorders>
              <w:top w:val="nil"/>
              <w:left w:val="nil"/>
              <w:bottom w:val="nil"/>
              <w:right w:val="nil"/>
            </w:tcBorders>
            <w:shd w:val="clear" w:color="auto" w:fill="auto"/>
            <w:noWrap/>
            <w:vAlign w:val="bottom"/>
            <w:hideMark/>
          </w:tcPr>
          <w:p w:rsidR="00007290" w:rsidRPr="00007290" w:rsidRDefault="00007290" w:rsidP="00007290">
            <w:pPr>
              <w:spacing w:before="0"/>
              <w:jc w:val="center"/>
              <w:rPr>
                <w:rFonts w:ascii="Times" w:hAnsi="Times" w:cs="Times"/>
                <w:color w:val="000000"/>
              </w:rPr>
            </w:pPr>
            <w:r w:rsidRPr="00007290">
              <w:rPr>
                <w:rFonts w:ascii="Times" w:hAnsi="Times" w:cs="Times"/>
                <w:color w:val="000000"/>
              </w:rPr>
              <w:t>0,09</w:t>
            </w:r>
          </w:p>
        </w:tc>
        <w:tc>
          <w:tcPr>
            <w:tcW w:w="1464" w:type="dxa"/>
            <w:tcBorders>
              <w:top w:val="nil"/>
              <w:left w:val="nil"/>
              <w:bottom w:val="nil"/>
              <w:right w:val="nil"/>
            </w:tcBorders>
            <w:shd w:val="clear" w:color="000000" w:fill="A6A6A6"/>
            <w:noWrap/>
            <w:vAlign w:val="bottom"/>
            <w:hideMark/>
          </w:tcPr>
          <w:p w:rsidR="00007290" w:rsidRPr="00007290" w:rsidRDefault="00007290" w:rsidP="00007290">
            <w:pPr>
              <w:spacing w:before="0"/>
              <w:jc w:val="center"/>
              <w:rPr>
                <w:rFonts w:ascii="Times" w:hAnsi="Times" w:cs="Times"/>
                <w:color w:val="000000"/>
              </w:rPr>
            </w:pPr>
            <w:r w:rsidRPr="00007290">
              <w:rPr>
                <w:rFonts w:ascii="Times" w:hAnsi="Times" w:cs="Times"/>
                <w:color w:val="000000"/>
              </w:rPr>
              <w:t>10,38</w:t>
            </w:r>
          </w:p>
        </w:tc>
        <w:tc>
          <w:tcPr>
            <w:tcW w:w="1414" w:type="dxa"/>
            <w:tcBorders>
              <w:top w:val="nil"/>
              <w:left w:val="nil"/>
              <w:bottom w:val="nil"/>
              <w:right w:val="nil"/>
            </w:tcBorders>
            <w:shd w:val="clear" w:color="auto" w:fill="auto"/>
            <w:noWrap/>
            <w:vAlign w:val="bottom"/>
            <w:hideMark/>
          </w:tcPr>
          <w:p w:rsidR="00007290" w:rsidRPr="00007290" w:rsidRDefault="00007290" w:rsidP="00007290">
            <w:pPr>
              <w:spacing w:before="0"/>
              <w:jc w:val="center"/>
              <w:rPr>
                <w:rFonts w:ascii="Times" w:hAnsi="Times" w:cs="Times"/>
                <w:color w:val="000000"/>
              </w:rPr>
            </w:pPr>
            <w:r w:rsidRPr="00007290">
              <w:rPr>
                <w:rFonts w:ascii="Times" w:hAnsi="Times" w:cs="Times"/>
                <w:color w:val="000000"/>
              </w:rPr>
              <w:t>0,03</w:t>
            </w:r>
          </w:p>
        </w:tc>
      </w:tr>
      <w:tr w:rsidR="00007290" w:rsidRPr="00007290" w:rsidTr="00CD34A6">
        <w:trPr>
          <w:trHeight w:val="318"/>
        </w:trPr>
        <w:tc>
          <w:tcPr>
            <w:tcW w:w="1212" w:type="dxa"/>
            <w:tcBorders>
              <w:top w:val="nil"/>
              <w:left w:val="nil"/>
              <w:bottom w:val="nil"/>
              <w:right w:val="nil"/>
            </w:tcBorders>
            <w:shd w:val="clear" w:color="auto" w:fill="auto"/>
            <w:noWrap/>
            <w:vAlign w:val="bottom"/>
            <w:hideMark/>
          </w:tcPr>
          <w:p w:rsidR="00007290" w:rsidRPr="00007290" w:rsidRDefault="00007290" w:rsidP="00007290">
            <w:pPr>
              <w:spacing w:before="0"/>
              <w:jc w:val="left"/>
              <w:rPr>
                <w:rFonts w:ascii="Times" w:hAnsi="Times" w:cs="Times"/>
                <w:color w:val="000000"/>
              </w:rPr>
            </w:pPr>
            <w:r w:rsidRPr="00007290">
              <w:rPr>
                <w:rFonts w:ascii="Times" w:hAnsi="Times" w:cs="Times"/>
                <w:color w:val="000000"/>
              </w:rPr>
              <w:t>H</w:t>
            </w:r>
          </w:p>
        </w:tc>
        <w:tc>
          <w:tcPr>
            <w:tcW w:w="1414" w:type="dxa"/>
            <w:tcBorders>
              <w:top w:val="nil"/>
              <w:left w:val="nil"/>
              <w:bottom w:val="nil"/>
              <w:right w:val="nil"/>
            </w:tcBorders>
            <w:shd w:val="clear" w:color="auto" w:fill="auto"/>
            <w:noWrap/>
            <w:vAlign w:val="bottom"/>
            <w:hideMark/>
          </w:tcPr>
          <w:p w:rsidR="00007290" w:rsidRPr="00007290" w:rsidRDefault="00007290" w:rsidP="00007290">
            <w:pPr>
              <w:spacing w:before="0"/>
              <w:jc w:val="center"/>
              <w:rPr>
                <w:rFonts w:ascii="Times" w:hAnsi="Times" w:cs="Times"/>
                <w:color w:val="000000"/>
              </w:rPr>
            </w:pPr>
            <w:r w:rsidRPr="00007290">
              <w:rPr>
                <w:rFonts w:ascii="Times" w:hAnsi="Times" w:cs="Times"/>
                <w:color w:val="000000"/>
              </w:rPr>
              <w:t>0,58</w:t>
            </w:r>
          </w:p>
        </w:tc>
        <w:tc>
          <w:tcPr>
            <w:tcW w:w="1641" w:type="dxa"/>
            <w:tcBorders>
              <w:top w:val="nil"/>
              <w:left w:val="nil"/>
              <w:bottom w:val="nil"/>
              <w:right w:val="nil"/>
            </w:tcBorders>
            <w:shd w:val="clear" w:color="000000" w:fill="A6A6A6"/>
            <w:noWrap/>
            <w:vAlign w:val="bottom"/>
            <w:hideMark/>
          </w:tcPr>
          <w:p w:rsidR="00007290" w:rsidRPr="00007290" w:rsidRDefault="00007290" w:rsidP="00007290">
            <w:pPr>
              <w:spacing w:before="0"/>
              <w:jc w:val="center"/>
              <w:rPr>
                <w:rFonts w:ascii="Times" w:hAnsi="Times" w:cs="Times"/>
                <w:color w:val="000000"/>
              </w:rPr>
            </w:pPr>
            <w:r w:rsidRPr="00007290">
              <w:rPr>
                <w:rFonts w:ascii="Times" w:hAnsi="Times" w:cs="Times"/>
                <w:color w:val="000000"/>
              </w:rPr>
              <w:t>8,34</w:t>
            </w:r>
          </w:p>
        </w:tc>
        <w:tc>
          <w:tcPr>
            <w:tcW w:w="1388" w:type="dxa"/>
            <w:tcBorders>
              <w:top w:val="nil"/>
              <w:left w:val="nil"/>
              <w:bottom w:val="nil"/>
              <w:right w:val="nil"/>
            </w:tcBorders>
            <w:shd w:val="clear" w:color="auto" w:fill="auto"/>
            <w:noWrap/>
            <w:vAlign w:val="bottom"/>
            <w:hideMark/>
          </w:tcPr>
          <w:p w:rsidR="00007290" w:rsidRPr="00007290" w:rsidRDefault="00007290" w:rsidP="00007290">
            <w:pPr>
              <w:spacing w:before="0"/>
              <w:jc w:val="center"/>
              <w:rPr>
                <w:rFonts w:ascii="Times" w:hAnsi="Times" w:cs="Times"/>
                <w:color w:val="000000"/>
              </w:rPr>
            </w:pPr>
            <w:r w:rsidRPr="00007290">
              <w:rPr>
                <w:rFonts w:ascii="Times" w:hAnsi="Times" w:cs="Times"/>
                <w:color w:val="000000"/>
              </w:rPr>
              <w:t>0,18</w:t>
            </w:r>
          </w:p>
        </w:tc>
        <w:tc>
          <w:tcPr>
            <w:tcW w:w="1464" w:type="dxa"/>
            <w:tcBorders>
              <w:top w:val="nil"/>
              <w:left w:val="nil"/>
              <w:bottom w:val="nil"/>
              <w:right w:val="nil"/>
            </w:tcBorders>
            <w:shd w:val="clear" w:color="000000" w:fill="A6A6A6"/>
            <w:noWrap/>
            <w:vAlign w:val="bottom"/>
            <w:hideMark/>
          </w:tcPr>
          <w:p w:rsidR="00007290" w:rsidRPr="00007290" w:rsidRDefault="00007290" w:rsidP="00007290">
            <w:pPr>
              <w:spacing w:before="0"/>
              <w:jc w:val="center"/>
              <w:rPr>
                <w:rFonts w:ascii="Times" w:hAnsi="Times" w:cs="Times"/>
                <w:color w:val="000000"/>
              </w:rPr>
            </w:pPr>
            <w:r w:rsidRPr="00007290">
              <w:rPr>
                <w:rFonts w:ascii="Times" w:hAnsi="Times" w:cs="Times"/>
                <w:color w:val="000000"/>
              </w:rPr>
              <w:t>9,84</w:t>
            </w:r>
          </w:p>
        </w:tc>
        <w:tc>
          <w:tcPr>
            <w:tcW w:w="1414" w:type="dxa"/>
            <w:tcBorders>
              <w:top w:val="nil"/>
              <w:left w:val="nil"/>
              <w:bottom w:val="nil"/>
              <w:right w:val="nil"/>
            </w:tcBorders>
            <w:shd w:val="clear" w:color="auto" w:fill="auto"/>
            <w:noWrap/>
            <w:vAlign w:val="bottom"/>
            <w:hideMark/>
          </w:tcPr>
          <w:p w:rsidR="00007290" w:rsidRPr="00007290" w:rsidRDefault="00007290" w:rsidP="00007290">
            <w:pPr>
              <w:spacing w:before="0"/>
              <w:jc w:val="center"/>
              <w:rPr>
                <w:rFonts w:ascii="Times" w:hAnsi="Times" w:cs="Times"/>
                <w:color w:val="000000"/>
              </w:rPr>
            </w:pPr>
            <w:r w:rsidRPr="00007290">
              <w:rPr>
                <w:rFonts w:ascii="Times" w:hAnsi="Times" w:cs="Times"/>
                <w:color w:val="000000"/>
              </w:rPr>
              <w:t>0,17</w:t>
            </w:r>
          </w:p>
        </w:tc>
      </w:tr>
      <w:tr w:rsidR="00007290" w:rsidRPr="00007290" w:rsidTr="00CD34A6">
        <w:trPr>
          <w:trHeight w:val="318"/>
        </w:trPr>
        <w:tc>
          <w:tcPr>
            <w:tcW w:w="1212" w:type="dxa"/>
            <w:tcBorders>
              <w:top w:val="nil"/>
              <w:left w:val="nil"/>
              <w:bottom w:val="nil"/>
              <w:right w:val="nil"/>
            </w:tcBorders>
            <w:shd w:val="clear" w:color="auto" w:fill="auto"/>
            <w:noWrap/>
            <w:vAlign w:val="bottom"/>
            <w:hideMark/>
          </w:tcPr>
          <w:p w:rsidR="00007290" w:rsidRPr="00007290" w:rsidRDefault="00007290" w:rsidP="00007290">
            <w:pPr>
              <w:spacing w:before="0"/>
              <w:jc w:val="left"/>
              <w:rPr>
                <w:rFonts w:ascii="Times" w:hAnsi="Times" w:cs="Times"/>
                <w:color w:val="000000"/>
              </w:rPr>
            </w:pPr>
            <w:r w:rsidRPr="00007290">
              <w:rPr>
                <w:rFonts w:ascii="Times" w:hAnsi="Times" w:cs="Times"/>
                <w:color w:val="000000"/>
              </w:rPr>
              <w:t>S</w:t>
            </w:r>
          </w:p>
        </w:tc>
        <w:tc>
          <w:tcPr>
            <w:tcW w:w="1414" w:type="dxa"/>
            <w:tcBorders>
              <w:top w:val="nil"/>
              <w:left w:val="nil"/>
              <w:bottom w:val="nil"/>
              <w:right w:val="nil"/>
            </w:tcBorders>
            <w:shd w:val="clear" w:color="auto" w:fill="auto"/>
            <w:noWrap/>
            <w:vAlign w:val="bottom"/>
            <w:hideMark/>
          </w:tcPr>
          <w:p w:rsidR="00007290" w:rsidRPr="00007290" w:rsidRDefault="00007290" w:rsidP="00007290">
            <w:pPr>
              <w:spacing w:before="0"/>
              <w:jc w:val="center"/>
              <w:rPr>
                <w:rFonts w:ascii="Times" w:hAnsi="Times" w:cs="Times"/>
                <w:color w:val="000000"/>
              </w:rPr>
            </w:pPr>
            <w:r w:rsidRPr="00007290">
              <w:rPr>
                <w:rFonts w:ascii="Times" w:hAnsi="Times" w:cs="Times"/>
                <w:color w:val="000000"/>
              </w:rPr>
              <w:t>0,18</w:t>
            </w:r>
          </w:p>
        </w:tc>
        <w:tc>
          <w:tcPr>
            <w:tcW w:w="1641" w:type="dxa"/>
            <w:tcBorders>
              <w:top w:val="nil"/>
              <w:left w:val="nil"/>
              <w:bottom w:val="nil"/>
              <w:right w:val="nil"/>
            </w:tcBorders>
            <w:shd w:val="clear" w:color="000000" w:fill="A6A6A6"/>
            <w:noWrap/>
            <w:vAlign w:val="bottom"/>
            <w:hideMark/>
          </w:tcPr>
          <w:p w:rsidR="00007290" w:rsidRPr="00007290" w:rsidRDefault="00007290" w:rsidP="00007290">
            <w:pPr>
              <w:spacing w:before="0"/>
              <w:jc w:val="center"/>
              <w:rPr>
                <w:rFonts w:ascii="Times" w:hAnsi="Times" w:cs="Times"/>
                <w:color w:val="000000"/>
              </w:rPr>
            </w:pPr>
            <w:r w:rsidRPr="00007290">
              <w:rPr>
                <w:rFonts w:ascii="Times" w:hAnsi="Times" w:cs="Times"/>
                <w:color w:val="000000"/>
              </w:rPr>
              <w:t>7,78</w:t>
            </w:r>
          </w:p>
        </w:tc>
        <w:tc>
          <w:tcPr>
            <w:tcW w:w="1388" w:type="dxa"/>
            <w:tcBorders>
              <w:top w:val="nil"/>
              <w:left w:val="nil"/>
              <w:bottom w:val="nil"/>
              <w:right w:val="nil"/>
            </w:tcBorders>
            <w:shd w:val="clear" w:color="auto" w:fill="auto"/>
            <w:noWrap/>
            <w:vAlign w:val="bottom"/>
            <w:hideMark/>
          </w:tcPr>
          <w:p w:rsidR="00007290" w:rsidRPr="00007290" w:rsidRDefault="00007290" w:rsidP="00007290">
            <w:pPr>
              <w:spacing w:before="0"/>
              <w:jc w:val="center"/>
              <w:rPr>
                <w:rFonts w:ascii="Times" w:hAnsi="Times" w:cs="Times"/>
                <w:color w:val="000000"/>
              </w:rPr>
            </w:pPr>
            <w:r w:rsidRPr="00007290">
              <w:rPr>
                <w:rFonts w:ascii="Times" w:hAnsi="Times" w:cs="Times"/>
                <w:color w:val="000000"/>
              </w:rPr>
              <w:t>0,13</w:t>
            </w:r>
          </w:p>
        </w:tc>
        <w:tc>
          <w:tcPr>
            <w:tcW w:w="1464" w:type="dxa"/>
            <w:tcBorders>
              <w:top w:val="nil"/>
              <w:left w:val="nil"/>
              <w:bottom w:val="nil"/>
              <w:right w:val="nil"/>
            </w:tcBorders>
            <w:shd w:val="clear" w:color="000000" w:fill="A6A6A6"/>
            <w:noWrap/>
            <w:vAlign w:val="bottom"/>
            <w:hideMark/>
          </w:tcPr>
          <w:p w:rsidR="00007290" w:rsidRPr="00007290" w:rsidRDefault="00007290" w:rsidP="00007290">
            <w:pPr>
              <w:spacing w:before="0"/>
              <w:jc w:val="center"/>
              <w:rPr>
                <w:rFonts w:ascii="Times" w:hAnsi="Times" w:cs="Times"/>
                <w:color w:val="000000"/>
              </w:rPr>
            </w:pPr>
            <w:r w:rsidRPr="00007290">
              <w:rPr>
                <w:rFonts w:ascii="Times" w:hAnsi="Times" w:cs="Times"/>
                <w:color w:val="000000"/>
              </w:rPr>
              <w:t>2,21</w:t>
            </w:r>
          </w:p>
        </w:tc>
        <w:tc>
          <w:tcPr>
            <w:tcW w:w="1414" w:type="dxa"/>
            <w:tcBorders>
              <w:top w:val="nil"/>
              <w:left w:val="nil"/>
              <w:bottom w:val="nil"/>
              <w:right w:val="nil"/>
            </w:tcBorders>
            <w:shd w:val="clear" w:color="auto" w:fill="auto"/>
            <w:noWrap/>
            <w:vAlign w:val="bottom"/>
            <w:hideMark/>
          </w:tcPr>
          <w:p w:rsidR="00007290" w:rsidRPr="00007290" w:rsidRDefault="00007290" w:rsidP="00007290">
            <w:pPr>
              <w:spacing w:before="0"/>
              <w:jc w:val="center"/>
              <w:rPr>
                <w:rFonts w:ascii="Times" w:hAnsi="Times" w:cs="Times"/>
                <w:color w:val="000000"/>
              </w:rPr>
            </w:pPr>
            <w:r w:rsidRPr="00007290">
              <w:rPr>
                <w:rFonts w:ascii="Times" w:hAnsi="Times" w:cs="Times"/>
                <w:color w:val="000000"/>
              </w:rPr>
              <w:t>0,88</w:t>
            </w:r>
          </w:p>
        </w:tc>
      </w:tr>
      <w:tr w:rsidR="00007290" w:rsidRPr="00007290" w:rsidTr="00CD34A6">
        <w:trPr>
          <w:trHeight w:val="318"/>
        </w:trPr>
        <w:tc>
          <w:tcPr>
            <w:tcW w:w="1212" w:type="dxa"/>
            <w:tcBorders>
              <w:top w:val="nil"/>
              <w:left w:val="nil"/>
              <w:bottom w:val="nil"/>
              <w:right w:val="nil"/>
            </w:tcBorders>
            <w:shd w:val="clear" w:color="auto" w:fill="auto"/>
            <w:noWrap/>
            <w:vAlign w:val="bottom"/>
            <w:hideMark/>
          </w:tcPr>
          <w:p w:rsidR="00007290" w:rsidRPr="00007290" w:rsidRDefault="00007290" w:rsidP="00007290">
            <w:pPr>
              <w:spacing w:before="0"/>
              <w:jc w:val="left"/>
              <w:rPr>
                <w:rFonts w:ascii="Times" w:hAnsi="Times" w:cs="Times"/>
                <w:color w:val="000000"/>
              </w:rPr>
            </w:pPr>
            <w:r w:rsidRPr="00007290">
              <w:rPr>
                <w:rFonts w:ascii="Times" w:hAnsi="Times" w:cs="Times"/>
                <w:color w:val="000000"/>
              </w:rPr>
              <w:t>T</w:t>
            </w:r>
          </w:p>
        </w:tc>
        <w:tc>
          <w:tcPr>
            <w:tcW w:w="1414" w:type="dxa"/>
            <w:tcBorders>
              <w:top w:val="nil"/>
              <w:left w:val="nil"/>
              <w:bottom w:val="nil"/>
              <w:right w:val="nil"/>
            </w:tcBorders>
            <w:shd w:val="clear" w:color="auto" w:fill="auto"/>
            <w:noWrap/>
            <w:vAlign w:val="bottom"/>
            <w:hideMark/>
          </w:tcPr>
          <w:p w:rsidR="00007290" w:rsidRPr="00007290" w:rsidRDefault="00007290" w:rsidP="00007290">
            <w:pPr>
              <w:spacing w:before="0"/>
              <w:jc w:val="center"/>
              <w:rPr>
                <w:rFonts w:ascii="Times" w:hAnsi="Times" w:cs="Times"/>
                <w:color w:val="000000"/>
              </w:rPr>
            </w:pPr>
            <w:r w:rsidRPr="00007290">
              <w:rPr>
                <w:rFonts w:ascii="Times" w:hAnsi="Times" w:cs="Times"/>
                <w:color w:val="000000"/>
              </w:rPr>
              <w:t>0,61</w:t>
            </w:r>
          </w:p>
        </w:tc>
        <w:tc>
          <w:tcPr>
            <w:tcW w:w="1641" w:type="dxa"/>
            <w:tcBorders>
              <w:top w:val="nil"/>
              <w:left w:val="nil"/>
              <w:bottom w:val="nil"/>
              <w:right w:val="nil"/>
            </w:tcBorders>
            <w:shd w:val="clear" w:color="000000" w:fill="A6A6A6"/>
            <w:noWrap/>
            <w:vAlign w:val="bottom"/>
            <w:hideMark/>
          </w:tcPr>
          <w:p w:rsidR="00007290" w:rsidRPr="00007290" w:rsidRDefault="00007290" w:rsidP="00007290">
            <w:pPr>
              <w:spacing w:before="0"/>
              <w:jc w:val="center"/>
              <w:rPr>
                <w:rFonts w:ascii="Times" w:hAnsi="Times" w:cs="Times"/>
                <w:color w:val="000000"/>
              </w:rPr>
            </w:pPr>
            <w:r w:rsidRPr="00007290">
              <w:rPr>
                <w:rFonts w:ascii="Times" w:hAnsi="Times" w:cs="Times"/>
                <w:color w:val="000000"/>
              </w:rPr>
              <w:t>5,49</w:t>
            </w:r>
          </w:p>
        </w:tc>
        <w:tc>
          <w:tcPr>
            <w:tcW w:w="1388" w:type="dxa"/>
            <w:tcBorders>
              <w:top w:val="nil"/>
              <w:left w:val="nil"/>
              <w:bottom w:val="nil"/>
              <w:right w:val="nil"/>
            </w:tcBorders>
            <w:shd w:val="clear" w:color="auto" w:fill="auto"/>
            <w:noWrap/>
            <w:vAlign w:val="bottom"/>
            <w:hideMark/>
          </w:tcPr>
          <w:p w:rsidR="00007290" w:rsidRPr="00007290" w:rsidRDefault="00007290" w:rsidP="00007290">
            <w:pPr>
              <w:spacing w:before="0"/>
              <w:jc w:val="center"/>
              <w:rPr>
                <w:rFonts w:ascii="Times" w:hAnsi="Times" w:cs="Times"/>
                <w:color w:val="000000"/>
              </w:rPr>
            </w:pPr>
            <w:r w:rsidRPr="00007290">
              <w:rPr>
                <w:rFonts w:ascii="Times" w:hAnsi="Times" w:cs="Times"/>
                <w:color w:val="000000"/>
              </w:rPr>
              <w:t>0,29</w:t>
            </w:r>
          </w:p>
        </w:tc>
        <w:tc>
          <w:tcPr>
            <w:tcW w:w="1464" w:type="dxa"/>
            <w:tcBorders>
              <w:top w:val="nil"/>
              <w:left w:val="nil"/>
              <w:bottom w:val="nil"/>
              <w:right w:val="nil"/>
            </w:tcBorders>
            <w:shd w:val="clear" w:color="000000" w:fill="A6A6A6"/>
            <w:noWrap/>
            <w:vAlign w:val="bottom"/>
            <w:hideMark/>
          </w:tcPr>
          <w:p w:rsidR="00007290" w:rsidRPr="00007290" w:rsidRDefault="00007290" w:rsidP="00007290">
            <w:pPr>
              <w:spacing w:before="0"/>
              <w:jc w:val="center"/>
              <w:rPr>
                <w:rFonts w:ascii="Times" w:hAnsi="Times" w:cs="Times"/>
                <w:color w:val="000000"/>
              </w:rPr>
            </w:pPr>
            <w:r w:rsidRPr="00007290">
              <w:rPr>
                <w:rFonts w:ascii="Times" w:hAnsi="Times" w:cs="Times"/>
                <w:color w:val="000000"/>
              </w:rPr>
              <w:t>7,01</w:t>
            </w:r>
          </w:p>
        </w:tc>
        <w:tc>
          <w:tcPr>
            <w:tcW w:w="1414" w:type="dxa"/>
            <w:tcBorders>
              <w:top w:val="nil"/>
              <w:left w:val="nil"/>
              <w:bottom w:val="nil"/>
              <w:right w:val="nil"/>
            </w:tcBorders>
            <w:shd w:val="clear" w:color="auto" w:fill="auto"/>
            <w:noWrap/>
            <w:vAlign w:val="bottom"/>
            <w:hideMark/>
          </w:tcPr>
          <w:p w:rsidR="00007290" w:rsidRPr="00007290" w:rsidRDefault="00007290" w:rsidP="00007290">
            <w:pPr>
              <w:spacing w:before="0"/>
              <w:jc w:val="center"/>
              <w:rPr>
                <w:rFonts w:ascii="Times" w:hAnsi="Times" w:cs="Times"/>
                <w:color w:val="000000"/>
              </w:rPr>
            </w:pPr>
            <w:r w:rsidRPr="00007290">
              <w:rPr>
                <w:rFonts w:ascii="Times" w:hAnsi="Times" w:cs="Times"/>
                <w:color w:val="000000"/>
              </w:rPr>
              <w:t>0,56</w:t>
            </w:r>
          </w:p>
        </w:tc>
      </w:tr>
      <w:tr w:rsidR="00007290" w:rsidRPr="00007290" w:rsidTr="00CD34A6">
        <w:trPr>
          <w:trHeight w:val="318"/>
        </w:trPr>
        <w:tc>
          <w:tcPr>
            <w:tcW w:w="1212" w:type="dxa"/>
            <w:tcBorders>
              <w:top w:val="nil"/>
              <w:left w:val="nil"/>
              <w:bottom w:val="nil"/>
              <w:right w:val="nil"/>
            </w:tcBorders>
            <w:shd w:val="clear" w:color="auto" w:fill="auto"/>
            <w:noWrap/>
            <w:vAlign w:val="bottom"/>
            <w:hideMark/>
          </w:tcPr>
          <w:p w:rsidR="00007290" w:rsidRPr="00007290" w:rsidRDefault="00007290" w:rsidP="00007290">
            <w:pPr>
              <w:spacing w:before="0"/>
              <w:jc w:val="left"/>
              <w:rPr>
                <w:rFonts w:ascii="Times" w:hAnsi="Times" w:cs="Times"/>
                <w:color w:val="000000"/>
              </w:rPr>
            </w:pPr>
            <w:r w:rsidRPr="00007290">
              <w:rPr>
                <w:rFonts w:ascii="Times" w:hAnsi="Times" w:cs="Times"/>
                <w:color w:val="000000"/>
              </w:rPr>
              <w:t xml:space="preserve">CH </w:t>
            </w:r>
          </w:p>
        </w:tc>
        <w:tc>
          <w:tcPr>
            <w:tcW w:w="1414" w:type="dxa"/>
            <w:tcBorders>
              <w:top w:val="nil"/>
              <w:left w:val="nil"/>
              <w:bottom w:val="nil"/>
              <w:right w:val="nil"/>
            </w:tcBorders>
            <w:shd w:val="clear" w:color="auto" w:fill="auto"/>
            <w:noWrap/>
            <w:vAlign w:val="bottom"/>
            <w:hideMark/>
          </w:tcPr>
          <w:p w:rsidR="00007290" w:rsidRPr="00007290" w:rsidRDefault="00007290" w:rsidP="00007290">
            <w:pPr>
              <w:spacing w:before="0"/>
              <w:jc w:val="center"/>
              <w:rPr>
                <w:rFonts w:ascii="Times" w:hAnsi="Times" w:cs="Times"/>
                <w:color w:val="000000"/>
              </w:rPr>
            </w:pPr>
            <w:r w:rsidRPr="00007290">
              <w:rPr>
                <w:rFonts w:ascii="Times" w:hAnsi="Times" w:cs="Times"/>
                <w:color w:val="000000"/>
              </w:rPr>
              <w:t>0,10</w:t>
            </w:r>
          </w:p>
        </w:tc>
        <w:tc>
          <w:tcPr>
            <w:tcW w:w="1641" w:type="dxa"/>
            <w:tcBorders>
              <w:top w:val="nil"/>
              <w:left w:val="nil"/>
              <w:bottom w:val="nil"/>
              <w:right w:val="nil"/>
            </w:tcBorders>
            <w:shd w:val="clear" w:color="000000" w:fill="A6A6A6"/>
            <w:noWrap/>
            <w:vAlign w:val="bottom"/>
            <w:hideMark/>
          </w:tcPr>
          <w:p w:rsidR="00007290" w:rsidRPr="00007290" w:rsidRDefault="00007290" w:rsidP="00007290">
            <w:pPr>
              <w:spacing w:before="0"/>
              <w:jc w:val="center"/>
              <w:rPr>
                <w:rFonts w:ascii="Times" w:hAnsi="Times" w:cs="Times"/>
                <w:color w:val="000000"/>
              </w:rPr>
            </w:pPr>
            <w:r w:rsidRPr="00007290">
              <w:rPr>
                <w:rFonts w:ascii="Times" w:hAnsi="Times" w:cs="Times"/>
                <w:color w:val="000000"/>
              </w:rPr>
              <w:t>10,64</w:t>
            </w:r>
          </w:p>
        </w:tc>
        <w:tc>
          <w:tcPr>
            <w:tcW w:w="1388" w:type="dxa"/>
            <w:tcBorders>
              <w:top w:val="nil"/>
              <w:left w:val="nil"/>
              <w:bottom w:val="nil"/>
              <w:right w:val="nil"/>
            </w:tcBorders>
            <w:shd w:val="clear" w:color="auto" w:fill="auto"/>
            <w:noWrap/>
            <w:vAlign w:val="bottom"/>
            <w:hideMark/>
          </w:tcPr>
          <w:p w:rsidR="00007290" w:rsidRPr="00007290" w:rsidRDefault="00007290" w:rsidP="00007290">
            <w:pPr>
              <w:spacing w:before="0"/>
              <w:jc w:val="center"/>
              <w:rPr>
                <w:rFonts w:ascii="Times" w:hAnsi="Times" w:cs="Times"/>
                <w:color w:val="000000"/>
              </w:rPr>
            </w:pPr>
            <w:r w:rsidRPr="00007290">
              <w:rPr>
                <w:rFonts w:ascii="Times" w:hAnsi="Times" w:cs="Times"/>
                <w:color w:val="000000"/>
              </w:rPr>
              <w:t>0,23</w:t>
            </w:r>
          </w:p>
        </w:tc>
        <w:tc>
          <w:tcPr>
            <w:tcW w:w="1464" w:type="dxa"/>
            <w:tcBorders>
              <w:top w:val="nil"/>
              <w:left w:val="nil"/>
              <w:bottom w:val="nil"/>
              <w:right w:val="nil"/>
            </w:tcBorders>
            <w:shd w:val="clear" w:color="auto" w:fill="auto"/>
            <w:noWrap/>
            <w:vAlign w:val="bottom"/>
            <w:hideMark/>
          </w:tcPr>
          <w:p w:rsidR="00007290" w:rsidRPr="00007290" w:rsidRDefault="00007290" w:rsidP="00007290">
            <w:pPr>
              <w:spacing w:before="0"/>
              <w:jc w:val="center"/>
              <w:rPr>
                <w:rFonts w:ascii="Times" w:hAnsi="Times" w:cs="Times"/>
                <w:color w:val="000000"/>
              </w:rPr>
            </w:pPr>
            <w:r w:rsidRPr="00007290">
              <w:rPr>
                <w:rFonts w:ascii="Times" w:hAnsi="Times" w:cs="Times"/>
                <w:color w:val="000000"/>
              </w:rPr>
              <w:t>0,59</w:t>
            </w:r>
          </w:p>
        </w:tc>
        <w:tc>
          <w:tcPr>
            <w:tcW w:w="1414" w:type="dxa"/>
            <w:tcBorders>
              <w:top w:val="nil"/>
              <w:left w:val="nil"/>
              <w:bottom w:val="nil"/>
              <w:right w:val="nil"/>
            </w:tcBorders>
            <w:shd w:val="clear" w:color="auto" w:fill="auto"/>
            <w:noWrap/>
            <w:vAlign w:val="bottom"/>
            <w:hideMark/>
          </w:tcPr>
          <w:p w:rsidR="00007290" w:rsidRPr="00007290" w:rsidRDefault="00007290" w:rsidP="00007290">
            <w:pPr>
              <w:spacing w:before="0"/>
              <w:jc w:val="center"/>
              <w:rPr>
                <w:rFonts w:ascii="Times" w:hAnsi="Times" w:cs="Times"/>
                <w:color w:val="000000"/>
              </w:rPr>
            </w:pPr>
            <w:r w:rsidRPr="00007290">
              <w:rPr>
                <w:rFonts w:ascii="Times" w:hAnsi="Times" w:cs="Times"/>
                <w:color w:val="000000"/>
              </w:rPr>
              <w:t>0,68</w:t>
            </w:r>
          </w:p>
        </w:tc>
      </w:tr>
      <w:tr w:rsidR="00007290" w:rsidRPr="00007290" w:rsidTr="00CD34A6">
        <w:trPr>
          <w:trHeight w:val="318"/>
        </w:trPr>
        <w:tc>
          <w:tcPr>
            <w:tcW w:w="1212" w:type="dxa"/>
            <w:tcBorders>
              <w:top w:val="nil"/>
              <w:left w:val="nil"/>
              <w:bottom w:val="nil"/>
              <w:right w:val="nil"/>
            </w:tcBorders>
            <w:shd w:val="clear" w:color="auto" w:fill="auto"/>
            <w:noWrap/>
            <w:vAlign w:val="bottom"/>
            <w:hideMark/>
          </w:tcPr>
          <w:p w:rsidR="00007290" w:rsidRPr="00007290" w:rsidRDefault="00007290" w:rsidP="00007290">
            <w:pPr>
              <w:spacing w:before="0"/>
              <w:jc w:val="left"/>
              <w:rPr>
                <w:rFonts w:ascii="Times" w:hAnsi="Times" w:cs="Times"/>
                <w:color w:val="000000"/>
              </w:rPr>
            </w:pPr>
            <w:proofErr w:type="spellStart"/>
            <w:proofErr w:type="gramStart"/>
            <w:r w:rsidRPr="00007290">
              <w:rPr>
                <w:rFonts w:ascii="Times" w:hAnsi="Times" w:cs="Times"/>
                <w:color w:val="000000"/>
              </w:rPr>
              <w:t>d_firma</w:t>
            </w:r>
            <w:proofErr w:type="spellEnd"/>
            <w:proofErr w:type="gramEnd"/>
          </w:p>
        </w:tc>
        <w:tc>
          <w:tcPr>
            <w:tcW w:w="1414" w:type="dxa"/>
            <w:tcBorders>
              <w:top w:val="nil"/>
              <w:left w:val="nil"/>
              <w:bottom w:val="nil"/>
              <w:right w:val="nil"/>
            </w:tcBorders>
            <w:shd w:val="clear" w:color="auto" w:fill="auto"/>
            <w:noWrap/>
            <w:vAlign w:val="bottom"/>
            <w:hideMark/>
          </w:tcPr>
          <w:p w:rsidR="00007290" w:rsidRPr="00007290" w:rsidRDefault="00007290" w:rsidP="00007290">
            <w:pPr>
              <w:spacing w:before="0"/>
              <w:jc w:val="center"/>
              <w:rPr>
                <w:rFonts w:ascii="Times" w:hAnsi="Times" w:cs="Times"/>
                <w:color w:val="000000"/>
              </w:rPr>
            </w:pPr>
            <w:r w:rsidRPr="00007290">
              <w:rPr>
                <w:rFonts w:ascii="Times" w:hAnsi="Times" w:cs="Times"/>
                <w:color w:val="000000"/>
              </w:rPr>
              <w:t>0,86</w:t>
            </w:r>
          </w:p>
        </w:tc>
        <w:tc>
          <w:tcPr>
            <w:tcW w:w="1641" w:type="dxa"/>
            <w:tcBorders>
              <w:top w:val="nil"/>
              <w:left w:val="nil"/>
              <w:bottom w:val="nil"/>
              <w:right w:val="nil"/>
            </w:tcBorders>
            <w:shd w:val="clear" w:color="000000" w:fill="A6A6A6"/>
            <w:noWrap/>
            <w:vAlign w:val="bottom"/>
            <w:hideMark/>
          </w:tcPr>
          <w:p w:rsidR="00007290" w:rsidRPr="00007290" w:rsidRDefault="00007290" w:rsidP="00007290">
            <w:pPr>
              <w:spacing w:before="0"/>
              <w:jc w:val="center"/>
              <w:rPr>
                <w:rFonts w:ascii="Times" w:hAnsi="Times" w:cs="Times"/>
                <w:color w:val="000000"/>
              </w:rPr>
            </w:pPr>
            <w:r w:rsidRPr="00007290">
              <w:rPr>
                <w:rFonts w:ascii="Times" w:hAnsi="Times" w:cs="Times"/>
                <w:color w:val="000000"/>
              </w:rPr>
              <w:t>6,93</w:t>
            </w:r>
          </w:p>
        </w:tc>
        <w:tc>
          <w:tcPr>
            <w:tcW w:w="1388" w:type="dxa"/>
            <w:tcBorders>
              <w:top w:val="nil"/>
              <w:left w:val="nil"/>
              <w:bottom w:val="nil"/>
              <w:right w:val="nil"/>
            </w:tcBorders>
            <w:shd w:val="clear" w:color="auto" w:fill="auto"/>
            <w:noWrap/>
            <w:vAlign w:val="bottom"/>
            <w:hideMark/>
          </w:tcPr>
          <w:p w:rsidR="00007290" w:rsidRPr="00007290" w:rsidRDefault="00007290" w:rsidP="00007290">
            <w:pPr>
              <w:spacing w:before="0"/>
              <w:jc w:val="center"/>
              <w:rPr>
                <w:rFonts w:ascii="Times" w:hAnsi="Times" w:cs="Times"/>
                <w:color w:val="000000"/>
              </w:rPr>
            </w:pPr>
            <w:r w:rsidRPr="00007290">
              <w:rPr>
                <w:rFonts w:ascii="Times" w:hAnsi="Times" w:cs="Times"/>
                <w:color w:val="000000"/>
              </w:rPr>
              <w:t>0,57</w:t>
            </w:r>
          </w:p>
        </w:tc>
        <w:tc>
          <w:tcPr>
            <w:tcW w:w="1464" w:type="dxa"/>
            <w:tcBorders>
              <w:top w:val="nil"/>
              <w:left w:val="nil"/>
              <w:bottom w:val="nil"/>
              <w:right w:val="nil"/>
            </w:tcBorders>
            <w:shd w:val="clear" w:color="auto" w:fill="auto"/>
            <w:noWrap/>
            <w:vAlign w:val="bottom"/>
            <w:hideMark/>
          </w:tcPr>
          <w:p w:rsidR="00007290" w:rsidRPr="00007290" w:rsidRDefault="00007290" w:rsidP="00007290">
            <w:pPr>
              <w:spacing w:before="0"/>
              <w:jc w:val="center"/>
              <w:rPr>
                <w:rFonts w:ascii="Times" w:hAnsi="Times" w:cs="Times"/>
                <w:color w:val="000000"/>
              </w:rPr>
            </w:pPr>
            <w:r w:rsidRPr="00007290">
              <w:rPr>
                <w:rFonts w:ascii="Times" w:hAnsi="Times" w:cs="Times"/>
                <w:color w:val="000000"/>
              </w:rPr>
              <w:t>0,23</w:t>
            </w:r>
          </w:p>
        </w:tc>
        <w:tc>
          <w:tcPr>
            <w:tcW w:w="1414" w:type="dxa"/>
            <w:tcBorders>
              <w:top w:val="nil"/>
              <w:left w:val="nil"/>
              <w:bottom w:val="nil"/>
              <w:right w:val="nil"/>
            </w:tcBorders>
            <w:shd w:val="clear" w:color="auto" w:fill="auto"/>
            <w:noWrap/>
            <w:vAlign w:val="bottom"/>
            <w:hideMark/>
          </w:tcPr>
          <w:p w:rsidR="00007290" w:rsidRPr="00007290" w:rsidRDefault="00007290" w:rsidP="00007290">
            <w:pPr>
              <w:spacing w:before="0"/>
              <w:jc w:val="center"/>
              <w:rPr>
                <w:rFonts w:ascii="Times" w:hAnsi="Times" w:cs="Times"/>
                <w:color w:val="000000"/>
              </w:rPr>
            </w:pPr>
            <w:r w:rsidRPr="00007290">
              <w:rPr>
                <w:rFonts w:ascii="Times" w:hAnsi="Times" w:cs="Times"/>
                <w:color w:val="000000"/>
              </w:rPr>
              <w:t>0,54</w:t>
            </w:r>
          </w:p>
        </w:tc>
      </w:tr>
      <w:tr w:rsidR="00007290" w:rsidRPr="00007290" w:rsidTr="00CD34A6">
        <w:trPr>
          <w:trHeight w:val="318"/>
        </w:trPr>
        <w:tc>
          <w:tcPr>
            <w:tcW w:w="1212" w:type="dxa"/>
            <w:tcBorders>
              <w:top w:val="nil"/>
              <w:left w:val="nil"/>
              <w:bottom w:val="single" w:sz="4" w:space="0" w:color="auto"/>
              <w:right w:val="nil"/>
            </w:tcBorders>
            <w:shd w:val="clear" w:color="auto" w:fill="auto"/>
            <w:noWrap/>
            <w:vAlign w:val="bottom"/>
            <w:hideMark/>
          </w:tcPr>
          <w:p w:rsidR="00007290" w:rsidRPr="00007290" w:rsidRDefault="00007290" w:rsidP="00007290">
            <w:pPr>
              <w:spacing w:before="0"/>
              <w:jc w:val="left"/>
              <w:rPr>
                <w:rFonts w:ascii="Times" w:hAnsi="Times" w:cs="Times"/>
                <w:i/>
                <w:iCs/>
                <w:color w:val="000000"/>
              </w:rPr>
            </w:pPr>
            <w:proofErr w:type="spellStart"/>
            <w:proofErr w:type="gramStart"/>
            <w:r w:rsidRPr="00007290">
              <w:rPr>
                <w:rFonts w:ascii="Times" w:hAnsi="Times" w:cs="Times"/>
                <w:i/>
                <w:iCs/>
                <w:color w:val="000000"/>
              </w:rPr>
              <w:t>df</w:t>
            </w:r>
            <w:proofErr w:type="spellEnd"/>
            <w:proofErr w:type="gramEnd"/>
          </w:p>
        </w:tc>
        <w:tc>
          <w:tcPr>
            <w:tcW w:w="1414" w:type="dxa"/>
            <w:tcBorders>
              <w:top w:val="nil"/>
              <w:left w:val="nil"/>
              <w:bottom w:val="single" w:sz="4" w:space="0" w:color="auto"/>
              <w:right w:val="nil"/>
            </w:tcBorders>
            <w:shd w:val="clear" w:color="auto" w:fill="auto"/>
            <w:noWrap/>
            <w:vAlign w:val="bottom"/>
            <w:hideMark/>
          </w:tcPr>
          <w:p w:rsidR="00007290" w:rsidRPr="00007290" w:rsidRDefault="00007290" w:rsidP="00007290">
            <w:pPr>
              <w:spacing w:before="0"/>
              <w:jc w:val="center"/>
              <w:rPr>
                <w:rFonts w:ascii="Times" w:hAnsi="Times" w:cs="Times"/>
                <w:i/>
                <w:iCs/>
                <w:color w:val="000000"/>
              </w:rPr>
            </w:pPr>
            <w:r w:rsidRPr="00007290">
              <w:rPr>
                <w:rFonts w:ascii="Times" w:hAnsi="Times" w:cs="Times"/>
                <w:i/>
                <w:iCs/>
                <w:color w:val="000000"/>
              </w:rPr>
              <w:t>14</w:t>
            </w:r>
          </w:p>
        </w:tc>
        <w:tc>
          <w:tcPr>
            <w:tcW w:w="1641" w:type="dxa"/>
            <w:tcBorders>
              <w:top w:val="nil"/>
              <w:left w:val="nil"/>
              <w:bottom w:val="single" w:sz="4" w:space="0" w:color="auto"/>
              <w:right w:val="nil"/>
            </w:tcBorders>
            <w:shd w:val="clear" w:color="auto" w:fill="auto"/>
            <w:noWrap/>
            <w:vAlign w:val="bottom"/>
            <w:hideMark/>
          </w:tcPr>
          <w:p w:rsidR="00007290" w:rsidRPr="00007290" w:rsidRDefault="00007290" w:rsidP="00007290">
            <w:pPr>
              <w:spacing w:before="0"/>
              <w:jc w:val="center"/>
              <w:rPr>
                <w:rFonts w:ascii="Times" w:hAnsi="Times" w:cs="Times"/>
                <w:i/>
                <w:iCs/>
                <w:color w:val="000000"/>
              </w:rPr>
            </w:pPr>
            <w:proofErr w:type="gramStart"/>
            <w:r w:rsidRPr="00007290">
              <w:rPr>
                <w:rFonts w:ascii="Times" w:hAnsi="Times" w:cs="Times"/>
                <w:i/>
                <w:iCs/>
                <w:color w:val="000000"/>
              </w:rPr>
              <w:t>3</w:t>
            </w:r>
            <w:proofErr w:type="gramEnd"/>
          </w:p>
        </w:tc>
        <w:tc>
          <w:tcPr>
            <w:tcW w:w="1388" w:type="dxa"/>
            <w:tcBorders>
              <w:top w:val="nil"/>
              <w:left w:val="nil"/>
              <w:bottom w:val="single" w:sz="4" w:space="0" w:color="auto"/>
              <w:right w:val="nil"/>
            </w:tcBorders>
            <w:shd w:val="clear" w:color="auto" w:fill="auto"/>
            <w:noWrap/>
            <w:vAlign w:val="bottom"/>
            <w:hideMark/>
          </w:tcPr>
          <w:p w:rsidR="00007290" w:rsidRPr="00007290" w:rsidRDefault="00007290" w:rsidP="00007290">
            <w:pPr>
              <w:spacing w:before="0"/>
              <w:jc w:val="center"/>
              <w:rPr>
                <w:rFonts w:ascii="Times" w:hAnsi="Times" w:cs="Times"/>
                <w:i/>
                <w:iCs/>
                <w:color w:val="000000"/>
              </w:rPr>
            </w:pPr>
            <w:proofErr w:type="gramStart"/>
            <w:r w:rsidRPr="00007290">
              <w:rPr>
                <w:rFonts w:ascii="Times" w:hAnsi="Times" w:cs="Times"/>
                <w:i/>
                <w:iCs/>
                <w:color w:val="000000"/>
              </w:rPr>
              <w:t>7</w:t>
            </w:r>
            <w:proofErr w:type="gramEnd"/>
          </w:p>
        </w:tc>
        <w:tc>
          <w:tcPr>
            <w:tcW w:w="1464" w:type="dxa"/>
            <w:tcBorders>
              <w:top w:val="nil"/>
              <w:left w:val="nil"/>
              <w:bottom w:val="single" w:sz="4" w:space="0" w:color="auto"/>
              <w:right w:val="nil"/>
            </w:tcBorders>
            <w:shd w:val="clear" w:color="auto" w:fill="auto"/>
            <w:noWrap/>
            <w:vAlign w:val="bottom"/>
            <w:hideMark/>
          </w:tcPr>
          <w:p w:rsidR="00007290" w:rsidRPr="00007290" w:rsidRDefault="00007290" w:rsidP="00007290">
            <w:pPr>
              <w:spacing w:before="0"/>
              <w:jc w:val="center"/>
              <w:rPr>
                <w:rFonts w:ascii="Times" w:hAnsi="Times" w:cs="Times"/>
                <w:i/>
                <w:iCs/>
                <w:color w:val="000000"/>
              </w:rPr>
            </w:pPr>
            <w:proofErr w:type="gramStart"/>
            <w:r w:rsidRPr="00007290">
              <w:rPr>
                <w:rFonts w:ascii="Times" w:hAnsi="Times" w:cs="Times"/>
                <w:i/>
                <w:iCs/>
                <w:color w:val="000000"/>
              </w:rPr>
              <w:t>1</w:t>
            </w:r>
            <w:proofErr w:type="gramEnd"/>
          </w:p>
        </w:tc>
        <w:tc>
          <w:tcPr>
            <w:tcW w:w="1414" w:type="dxa"/>
            <w:tcBorders>
              <w:top w:val="nil"/>
              <w:left w:val="nil"/>
              <w:bottom w:val="single" w:sz="4" w:space="0" w:color="auto"/>
              <w:right w:val="nil"/>
            </w:tcBorders>
            <w:shd w:val="clear" w:color="auto" w:fill="auto"/>
            <w:noWrap/>
            <w:vAlign w:val="bottom"/>
            <w:hideMark/>
          </w:tcPr>
          <w:p w:rsidR="00007290" w:rsidRPr="00007290" w:rsidRDefault="00007290" w:rsidP="00007290">
            <w:pPr>
              <w:spacing w:before="0"/>
              <w:jc w:val="center"/>
              <w:rPr>
                <w:rFonts w:ascii="Times" w:hAnsi="Times" w:cs="Times"/>
                <w:i/>
                <w:iCs/>
                <w:color w:val="000000"/>
              </w:rPr>
            </w:pPr>
            <w:r w:rsidRPr="00007290">
              <w:rPr>
                <w:rFonts w:ascii="Times" w:hAnsi="Times" w:cs="Times"/>
                <w:i/>
                <w:iCs/>
                <w:color w:val="000000"/>
              </w:rPr>
              <w:t>25</w:t>
            </w:r>
          </w:p>
        </w:tc>
      </w:tr>
    </w:tbl>
    <w:p w:rsidR="009C0C7E" w:rsidRPr="00584640" w:rsidRDefault="008606D1" w:rsidP="00CE2FAC">
      <w:pPr>
        <w:rPr>
          <w:lang w:val="en-US"/>
        </w:rPr>
      </w:pPr>
      <w:r>
        <w:rPr>
          <w:noProof/>
        </w:rPr>
        <w:fldChar w:fldCharType="end"/>
      </w:r>
      <w:r w:rsidR="009C0C7E" w:rsidRPr="00584640">
        <w:rPr>
          <w:b/>
          <w:sz w:val="20"/>
          <w:lang w:val="en-US"/>
        </w:rPr>
        <w:t>Source</w:t>
      </w:r>
      <w:r w:rsidR="00CD34A6">
        <w:rPr>
          <w:sz w:val="20"/>
          <w:lang w:val="en-US"/>
        </w:rPr>
        <w:t>: A</w:t>
      </w:r>
      <w:r w:rsidR="009C0C7E" w:rsidRPr="00584640">
        <w:rPr>
          <w:sz w:val="20"/>
          <w:lang w:val="en-US"/>
        </w:rPr>
        <w:t xml:space="preserve">uthors calculations based on RAIS/MTE data. H </w:t>
      </w:r>
      <w:r w:rsidR="00CD34A6">
        <w:rPr>
          <w:sz w:val="20"/>
          <w:lang w:val="en-US"/>
        </w:rPr>
        <w:t>=</w:t>
      </w:r>
      <w:r w:rsidR="009C0C7E" w:rsidRPr="00584640">
        <w:rPr>
          <w:sz w:val="20"/>
          <w:lang w:val="en-US"/>
        </w:rPr>
        <w:t xml:space="preserve"> Hiring rate; S </w:t>
      </w:r>
      <w:r w:rsidR="00CD34A6">
        <w:rPr>
          <w:sz w:val="20"/>
          <w:lang w:val="en-US"/>
        </w:rPr>
        <w:t>=</w:t>
      </w:r>
      <w:r w:rsidR="009C0C7E" w:rsidRPr="00584640">
        <w:rPr>
          <w:sz w:val="20"/>
          <w:lang w:val="en-US"/>
        </w:rPr>
        <w:t xml:space="preserve"> Separation rate; T = Turnover rate</w:t>
      </w:r>
      <w:r w:rsidR="009C0C7E">
        <w:rPr>
          <w:sz w:val="20"/>
          <w:lang w:val="en-US"/>
        </w:rPr>
        <w:t xml:space="preserve"> </w:t>
      </w:r>
      <w:r w:rsidR="009C0C7E" w:rsidRPr="00584640">
        <w:rPr>
          <w:sz w:val="20"/>
          <w:lang w:val="en-US"/>
        </w:rPr>
        <w:t xml:space="preserve">(T=H+S); </w:t>
      </w:r>
      <w:r w:rsidR="00007290" w:rsidRPr="00584640">
        <w:rPr>
          <w:sz w:val="20"/>
          <w:lang w:val="en-US"/>
        </w:rPr>
        <w:t>NET=Net Employment Growth (NET=</w:t>
      </w:r>
      <w:r w:rsidR="00007290">
        <w:rPr>
          <w:sz w:val="20"/>
          <w:lang w:val="en-US"/>
        </w:rPr>
        <w:t>H</w:t>
      </w:r>
      <w:r w:rsidR="00007290" w:rsidRPr="00584640">
        <w:rPr>
          <w:sz w:val="20"/>
          <w:lang w:val="en-US"/>
        </w:rPr>
        <w:t>-</w:t>
      </w:r>
      <w:r w:rsidR="00007290">
        <w:rPr>
          <w:sz w:val="20"/>
          <w:lang w:val="en-US"/>
        </w:rPr>
        <w:t>S</w:t>
      </w:r>
      <w:r w:rsidR="00007290" w:rsidRPr="00584640">
        <w:rPr>
          <w:sz w:val="20"/>
          <w:lang w:val="en-US"/>
        </w:rPr>
        <w:t xml:space="preserve">); </w:t>
      </w:r>
      <w:r w:rsidR="009C0C7E" w:rsidRPr="00584640">
        <w:rPr>
          <w:sz w:val="20"/>
          <w:lang w:val="en-US"/>
        </w:rPr>
        <w:t xml:space="preserve">Churning rate (CH=T – |NET|)). </w:t>
      </w:r>
      <w:proofErr w:type="spellStart"/>
      <w:proofErr w:type="gramStart"/>
      <w:r w:rsidR="009C0C7E">
        <w:rPr>
          <w:sz w:val="20"/>
          <w:lang w:val="en-US"/>
        </w:rPr>
        <w:t>Df</w:t>
      </w:r>
      <w:proofErr w:type="spellEnd"/>
      <w:proofErr w:type="gramEnd"/>
      <w:r w:rsidR="009C0C7E">
        <w:rPr>
          <w:sz w:val="20"/>
          <w:lang w:val="en-US"/>
        </w:rPr>
        <w:t xml:space="preserve"> – characteristic degrees of freedom (</w:t>
      </w:r>
      <w:r w:rsidR="00CD34A6">
        <w:rPr>
          <w:sz w:val="20"/>
          <w:lang w:val="en-US"/>
        </w:rPr>
        <w:t xml:space="preserve">number of </w:t>
      </w:r>
      <w:r w:rsidR="009C0C7E">
        <w:rPr>
          <w:sz w:val="20"/>
          <w:lang w:val="en-US"/>
        </w:rPr>
        <w:t>categories minus one). Cells measure the ratio between the characteristic mean square and the explained mean squares. Characteristics mean squares are measured comparing residual sum of squares with and without the variable group (</w:t>
      </w:r>
      <w:proofErr w:type="spellStart"/>
      <w:r w:rsidR="00D4254F">
        <w:rPr>
          <w:sz w:val="20"/>
          <w:lang w:val="en-US"/>
        </w:rPr>
        <w:t>A</w:t>
      </w:r>
      <w:r w:rsidR="009C0C7E">
        <w:rPr>
          <w:sz w:val="20"/>
          <w:lang w:val="en-US"/>
        </w:rPr>
        <w:t>nova</w:t>
      </w:r>
      <w:proofErr w:type="spellEnd"/>
      <w:r w:rsidR="00807EB5">
        <w:rPr>
          <w:sz w:val="20"/>
          <w:lang w:val="en-US"/>
        </w:rPr>
        <w:t xml:space="preserve"> decomposition</w:t>
      </w:r>
      <w:r w:rsidR="009C0C7E">
        <w:rPr>
          <w:sz w:val="20"/>
          <w:lang w:val="en-US"/>
        </w:rPr>
        <w:t>).</w:t>
      </w:r>
      <w:r w:rsidR="009C0C7E" w:rsidRPr="00584640">
        <w:rPr>
          <w:sz w:val="20"/>
          <w:lang w:val="en-US"/>
        </w:rPr>
        <w:t xml:space="preserve"> </w:t>
      </w:r>
      <w:r w:rsidR="00007290">
        <w:rPr>
          <w:sz w:val="20"/>
          <w:lang w:val="en-US"/>
        </w:rPr>
        <w:t>Gray</w:t>
      </w:r>
      <w:r w:rsidR="009C0C7E">
        <w:rPr>
          <w:sz w:val="20"/>
          <w:lang w:val="en-US"/>
        </w:rPr>
        <w:t xml:space="preserve"> cells indicate characteristics with twice the </w:t>
      </w:r>
      <w:r w:rsidR="006C3E6D">
        <w:rPr>
          <w:sz w:val="20"/>
          <w:lang w:val="en-US"/>
        </w:rPr>
        <w:t>regression mean square.</w:t>
      </w:r>
    </w:p>
    <w:p w:rsidR="002B6C80" w:rsidRDefault="002B6C80" w:rsidP="00BD7D66">
      <w:pPr>
        <w:spacing w:line="360" w:lineRule="auto"/>
        <w:rPr>
          <w:lang w:val="en-US"/>
        </w:rPr>
      </w:pPr>
    </w:p>
    <w:p w:rsidR="007701D2" w:rsidRDefault="007701D2" w:rsidP="007701D2">
      <w:pPr>
        <w:spacing w:line="360" w:lineRule="auto"/>
        <w:rPr>
          <w:lang w:val="en-US"/>
        </w:rPr>
      </w:pPr>
      <w:r>
        <w:rPr>
          <w:lang w:val="en-US"/>
        </w:rPr>
        <w:lastRenderedPageBreak/>
        <w:t xml:space="preserve">The results indicate that </w:t>
      </w:r>
      <w:r w:rsidR="00867AD0">
        <w:rPr>
          <w:lang w:val="en-US"/>
        </w:rPr>
        <w:t xml:space="preserve">the </w:t>
      </w:r>
      <w:r>
        <w:rPr>
          <w:lang w:val="en-US"/>
        </w:rPr>
        <w:t>workers</w:t>
      </w:r>
      <w:r w:rsidR="00CD34A6">
        <w:rPr>
          <w:lang w:val="en-US"/>
        </w:rPr>
        <w:t xml:space="preserve"> </w:t>
      </w:r>
      <w:r>
        <w:rPr>
          <w:lang w:val="en-US"/>
        </w:rPr>
        <w:t xml:space="preserve">age generate the sharpest difference across cell flow measures. Other characteristics are relevant (and significant), but with smaller explanatory power. Business unit age seems more important than industry and firm size. Business cycle variation has </w:t>
      </w:r>
      <w:r w:rsidR="00867AD0">
        <w:rPr>
          <w:lang w:val="en-US"/>
        </w:rPr>
        <w:t xml:space="preserve">relatively </w:t>
      </w:r>
      <w:r>
        <w:rPr>
          <w:lang w:val="en-US"/>
        </w:rPr>
        <w:t>small explanatory power</w:t>
      </w:r>
      <w:r w:rsidR="00007290">
        <w:rPr>
          <w:lang w:val="en-US"/>
        </w:rPr>
        <w:t>, a result that contrast with one of the stylized facts in the literature, namely the dominant role of business cycle to explain youth unemployment</w:t>
      </w:r>
      <w:r>
        <w:rPr>
          <w:lang w:val="en-US"/>
        </w:rPr>
        <w:t xml:space="preserve">. </w:t>
      </w:r>
      <w:r w:rsidR="00007290">
        <w:rPr>
          <w:lang w:val="en-US"/>
        </w:rPr>
        <w:t>Therefore</w:t>
      </w:r>
      <w:r>
        <w:rPr>
          <w:lang w:val="en-US"/>
        </w:rPr>
        <w:t>, there seems to be an important role for cell idiosyncratic non-observable characteristics in explaining job and worker flow. This is further explored in the next section.</w:t>
      </w:r>
    </w:p>
    <w:p w:rsidR="00F64781" w:rsidRDefault="00F64781" w:rsidP="007701D2">
      <w:pPr>
        <w:spacing w:line="360" w:lineRule="auto"/>
        <w:rPr>
          <w:lang w:val="en-US"/>
        </w:rPr>
      </w:pPr>
    </w:p>
    <w:p w:rsidR="00473188" w:rsidRPr="00295F7F" w:rsidRDefault="00212EB0" w:rsidP="00BD7D66">
      <w:pPr>
        <w:spacing w:line="360" w:lineRule="auto"/>
        <w:rPr>
          <w:i/>
          <w:lang w:val="en-US"/>
        </w:rPr>
      </w:pPr>
      <w:r>
        <w:rPr>
          <w:i/>
          <w:lang w:val="en-US"/>
        </w:rPr>
        <w:t>6</w:t>
      </w:r>
      <w:r w:rsidR="00473188" w:rsidRPr="00295F7F">
        <w:rPr>
          <w:i/>
          <w:lang w:val="en-US"/>
        </w:rPr>
        <w:t xml:space="preserve">.2. </w:t>
      </w:r>
      <w:r w:rsidR="005E5A66">
        <w:rPr>
          <w:i/>
          <w:lang w:val="en-US"/>
        </w:rPr>
        <w:t>Estimation of hazard models</w:t>
      </w:r>
    </w:p>
    <w:p w:rsidR="00007290" w:rsidRDefault="008D6C02" w:rsidP="00CF61EA">
      <w:pPr>
        <w:spacing w:line="360" w:lineRule="auto"/>
        <w:rPr>
          <w:lang w:val="en-US"/>
        </w:rPr>
      </w:pPr>
      <w:r>
        <w:rPr>
          <w:lang w:val="en-US"/>
        </w:rPr>
        <w:t>T</w:t>
      </w:r>
      <w:r w:rsidR="00C8674D">
        <w:rPr>
          <w:lang w:val="en-US"/>
        </w:rPr>
        <w:t>he decomposition above can be considered a</w:t>
      </w:r>
      <w:r w:rsidR="00C91D61">
        <w:rPr>
          <w:lang w:val="en-US"/>
        </w:rPr>
        <w:t>n</w:t>
      </w:r>
      <w:r w:rsidR="00C8674D">
        <w:rPr>
          <w:lang w:val="en-US"/>
        </w:rPr>
        <w:t xml:space="preserve"> illustrative first step in trying to isolate the intrinsic contribution of age to turnover. But t</w:t>
      </w:r>
      <w:r>
        <w:rPr>
          <w:lang w:val="en-US"/>
        </w:rPr>
        <w:t xml:space="preserve">he challenging identification problem </w:t>
      </w:r>
      <w:r w:rsidR="00C8674D">
        <w:rPr>
          <w:lang w:val="en-US"/>
        </w:rPr>
        <w:t>remains as t</w:t>
      </w:r>
      <w:r w:rsidR="00611BEE" w:rsidRPr="00295F7F">
        <w:rPr>
          <w:lang w:val="en-US"/>
        </w:rPr>
        <w:t xml:space="preserve">he results on the previous </w:t>
      </w:r>
      <w:r w:rsidR="00C8674D">
        <w:rPr>
          <w:lang w:val="en-US"/>
        </w:rPr>
        <w:t>section</w:t>
      </w:r>
      <w:r w:rsidR="00611BEE" w:rsidRPr="00295F7F">
        <w:rPr>
          <w:lang w:val="en-US"/>
        </w:rPr>
        <w:t xml:space="preserve"> cannot be used </w:t>
      </w:r>
      <w:r w:rsidR="00611BEE">
        <w:rPr>
          <w:lang w:val="en-US"/>
        </w:rPr>
        <w:t>“</w:t>
      </w:r>
      <w:r w:rsidR="00611BEE" w:rsidRPr="00081EB2">
        <w:rPr>
          <w:i/>
          <w:lang w:val="en-US"/>
        </w:rPr>
        <w:t>prima facie</w:t>
      </w:r>
      <w:r w:rsidR="00611BEE">
        <w:rPr>
          <w:lang w:val="en-US"/>
        </w:rPr>
        <w:t xml:space="preserve">” </w:t>
      </w:r>
      <w:r w:rsidR="00611BEE" w:rsidRPr="00295F7F">
        <w:rPr>
          <w:lang w:val="en-US"/>
        </w:rPr>
        <w:t xml:space="preserve">to address this question. The reason is that </w:t>
      </w:r>
      <w:r w:rsidR="00611BEE">
        <w:rPr>
          <w:lang w:val="en-US"/>
        </w:rPr>
        <w:t xml:space="preserve">age may be associated </w:t>
      </w:r>
      <w:r w:rsidR="00611BEE" w:rsidRPr="00295F7F">
        <w:rPr>
          <w:lang w:val="en-US"/>
        </w:rPr>
        <w:t xml:space="preserve">either to individual characteristics or </w:t>
      </w:r>
      <w:r w:rsidR="00C8674D">
        <w:rPr>
          <w:lang w:val="en-US"/>
        </w:rPr>
        <w:t xml:space="preserve">unobservable </w:t>
      </w:r>
      <w:r w:rsidR="00611BEE" w:rsidRPr="00295F7F">
        <w:rPr>
          <w:lang w:val="en-US"/>
        </w:rPr>
        <w:t xml:space="preserve">job characteristics. For instance, it has been previously shown </w:t>
      </w:r>
      <w:r w:rsidR="00C91D61">
        <w:rPr>
          <w:lang w:val="en-US"/>
        </w:rPr>
        <w:t xml:space="preserve">in the literature </w:t>
      </w:r>
      <w:r w:rsidR="00611BEE" w:rsidRPr="00295F7F">
        <w:rPr>
          <w:lang w:val="en-US"/>
        </w:rPr>
        <w:t xml:space="preserve">that young workers </w:t>
      </w:r>
      <w:r w:rsidR="00C91D61">
        <w:rPr>
          <w:lang w:val="en-US"/>
        </w:rPr>
        <w:t>accumulate</w:t>
      </w:r>
      <w:r w:rsidR="00611BEE" w:rsidRPr="00295F7F">
        <w:rPr>
          <w:lang w:val="en-US"/>
        </w:rPr>
        <w:t xml:space="preserve"> less human capital</w:t>
      </w:r>
      <w:r w:rsidR="00611BEE">
        <w:rPr>
          <w:rStyle w:val="Refdenotaderodap"/>
          <w:lang w:val="en-US"/>
        </w:rPr>
        <w:footnoteReference w:id="18"/>
      </w:r>
      <w:r w:rsidR="00611BEE">
        <w:rPr>
          <w:lang w:val="en-US"/>
        </w:rPr>
        <w:t xml:space="preserve">, </w:t>
      </w:r>
      <w:r w:rsidR="00C91D61">
        <w:rPr>
          <w:lang w:val="en-US"/>
        </w:rPr>
        <w:t xml:space="preserve">a finding that can be </w:t>
      </w:r>
      <w:r w:rsidR="00611BEE">
        <w:rPr>
          <w:lang w:val="en-US"/>
        </w:rPr>
        <w:t>associated with high turnover</w:t>
      </w:r>
      <w:r w:rsidR="00611BEE" w:rsidRPr="00295F7F">
        <w:rPr>
          <w:lang w:val="en-US"/>
        </w:rPr>
        <w:t>.</w:t>
      </w:r>
      <w:r w:rsidR="00611BEE">
        <w:rPr>
          <w:lang w:val="en-US"/>
        </w:rPr>
        <w:t xml:space="preserve"> </w:t>
      </w:r>
    </w:p>
    <w:p w:rsidR="00E167D1" w:rsidRDefault="00C91D61" w:rsidP="00CF61EA">
      <w:pPr>
        <w:spacing w:line="360" w:lineRule="auto"/>
        <w:rPr>
          <w:lang w:val="en-US"/>
        </w:rPr>
      </w:pPr>
      <w:r>
        <w:rPr>
          <w:lang w:val="en-US"/>
        </w:rPr>
        <w:t>An</w:t>
      </w:r>
      <w:r w:rsidR="00C8674D">
        <w:rPr>
          <w:lang w:val="en-US"/>
        </w:rPr>
        <w:t xml:space="preserve"> i</w:t>
      </w:r>
      <w:r w:rsidR="00E167D1">
        <w:rPr>
          <w:lang w:val="en-US"/>
        </w:rPr>
        <w:t>deal</w:t>
      </w:r>
      <w:r w:rsidR="00C8674D">
        <w:rPr>
          <w:lang w:val="en-US"/>
        </w:rPr>
        <w:t xml:space="preserve"> setting </w:t>
      </w:r>
      <w:r>
        <w:rPr>
          <w:lang w:val="en-US"/>
        </w:rPr>
        <w:t xml:space="preserve">to tackle </w:t>
      </w:r>
      <w:r w:rsidR="00C8674D">
        <w:rPr>
          <w:lang w:val="en-US"/>
        </w:rPr>
        <w:t xml:space="preserve">this </w:t>
      </w:r>
      <w:r>
        <w:rPr>
          <w:lang w:val="en-US"/>
        </w:rPr>
        <w:t xml:space="preserve">issue </w:t>
      </w:r>
      <w:r w:rsidR="00C8674D">
        <w:rPr>
          <w:lang w:val="en-US"/>
        </w:rPr>
        <w:t>is</w:t>
      </w:r>
      <w:r w:rsidR="00CF61EA">
        <w:rPr>
          <w:lang w:val="en-US"/>
        </w:rPr>
        <w:t xml:space="preserve"> to </w:t>
      </w:r>
      <w:r w:rsidR="00E167D1">
        <w:rPr>
          <w:lang w:val="en-US"/>
        </w:rPr>
        <w:t xml:space="preserve">analyze </w:t>
      </w:r>
      <w:r w:rsidR="00C8674D">
        <w:rPr>
          <w:lang w:val="en-US"/>
        </w:rPr>
        <w:t xml:space="preserve">longitudinal </w:t>
      </w:r>
      <w:r w:rsidR="00E167D1">
        <w:rPr>
          <w:lang w:val="en-US"/>
        </w:rPr>
        <w:t>worker level data that carries information</w:t>
      </w:r>
      <w:r w:rsidR="00CF61EA">
        <w:rPr>
          <w:lang w:val="en-US"/>
        </w:rPr>
        <w:t xml:space="preserve"> on the </w:t>
      </w:r>
      <w:r w:rsidR="00E167D1">
        <w:rPr>
          <w:lang w:val="en-US"/>
        </w:rPr>
        <w:t>establishment that host</w:t>
      </w:r>
      <w:r>
        <w:rPr>
          <w:lang w:val="en-US"/>
        </w:rPr>
        <w:t>s</w:t>
      </w:r>
      <w:r w:rsidR="00E167D1">
        <w:rPr>
          <w:lang w:val="en-US"/>
        </w:rPr>
        <w:t xml:space="preserve"> his job. </w:t>
      </w:r>
      <w:r w:rsidR="00C8674D">
        <w:rPr>
          <w:lang w:val="en-US"/>
        </w:rPr>
        <w:t>At this</w:t>
      </w:r>
      <w:r w:rsidR="00E167D1">
        <w:rPr>
          <w:lang w:val="en-US"/>
        </w:rPr>
        <w:t xml:space="preserve"> level, we </w:t>
      </w:r>
      <w:r w:rsidR="00C8674D">
        <w:rPr>
          <w:lang w:val="en-US"/>
        </w:rPr>
        <w:t>can</w:t>
      </w:r>
      <w:r w:rsidR="00E167D1">
        <w:rPr>
          <w:lang w:val="en-US"/>
        </w:rPr>
        <w:t xml:space="preserve"> analyze</w:t>
      </w:r>
      <w:r w:rsidR="00CF61EA" w:rsidRPr="00CE1191">
        <w:rPr>
          <w:lang w:val="en-US"/>
        </w:rPr>
        <w:t xml:space="preserve"> </w:t>
      </w:r>
      <w:r w:rsidR="00C8674D">
        <w:rPr>
          <w:lang w:val="en-US"/>
        </w:rPr>
        <w:t xml:space="preserve">the determinants of </w:t>
      </w:r>
      <w:r w:rsidR="00CF61EA" w:rsidRPr="00CE1191">
        <w:rPr>
          <w:lang w:val="en-US"/>
        </w:rPr>
        <w:t>employment duration</w:t>
      </w:r>
      <w:r w:rsidR="00C8674D">
        <w:rPr>
          <w:lang w:val="en-US"/>
        </w:rPr>
        <w:t xml:space="preserve"> considering both individual and job characteristics</w:t>
      </w:r>
      <w:r w:rsidR="00E167D1">
        <w:rPr>
          <w:lang w:val="en-US"/>
        </w:rPr>
        <w:t>.</w:t>
      </w:r>
    </w:p>
    <w:p w:rsidR="00CF61EA" w:rsidRPr="00295F7F" w:rsidRDefault="00E167D1" w:rsidP="00CF61EA">
      <w:pPr>
        <w:spacing w:line="360" w:lineRule="auto"/>
        <w:rPr>
          <w:lang w:val="en-US"/>
        </w:rPr>
      </w:pPr>
      <w:r>
        <w:rPr>
          <w:lang w:val="en-US"/>
        </w:rPr>
        <w:t xml:space="preserve">The standard econometric procedure to study duration events is the estimation of hazard models. </w:t>
      </w:r>
      <w:r w:rsidR="00DE4575">
        <w:rPr>
          <w:lang w:val="en-US"/>
        </w:rPr>
        <w:t>Our previous discussion suggests that such estimation</w:t>
      </w:r>
      <w:r w:rsidR="00CF61EA">
        <w:rPr>
          <w:lang w:val="en-US"/>
        </w:rPr>
        <w:t xml:space="preserve"> should be able to take into account </w:t>
      </w:r>
      <w:r w:rsidR="00DE4575">
        <w:rPr>
          <w:lang w:val="en-US"/>
        </w:rPr>
        <w:t>idiosyncratic</w:t>
      </w:r>
      <w:r w:rsidR="00CF61EA">
        <w:rPr>
          <w:lang w:val="en-US"/>
        </w:rPr>
        <w:t xml:space="preserve"> characteristics </w:t>
      </w:r>
      <w:r w:rsidR="00DE4575">
        <w:rPr>
          <w:lang w:val="en-US"/>
        </w:rPr>
        <w:t>on top of observable characteristics</w:t>
      </w:r>
      <w:r w:rsidR="00CF61EA">
        <w:rPr>
          <w:lang w:val="en-US"/>
        </w:rPr>
        <w:t xml:space="preserve">. </w:t>
      </w:r>
      <w:r w:rsidR="00CF61EA" w:rsidRPr="00295F7F">
        <w:rPr>
          <w:lang w:val="en-US"/>
        </w:rPr>
        <w:t xml:space="preserve">We </w:t>
      </w:r>
      <w:r w:rsidR="00CF61EA">
        <w:rPr>
          <w:lang w:val="en-US"/>
        </w:rPr>
        <w:t>chose to use</w:t>
      </w:r>
      <w:r w:rsidR="00CF61EA" w:rsidRPr="00295F7F">
        <w:rPr>
          <w:lang w:val="en-US"/>
        </w:rPr>
        <w:t xml:space="preserve"> the following </w:t>
      </w:r>
      <w:r w:rsidR="00CF61EA">
        <w:rPr>
          <w:lang w:val="en-US"/>
        </w:rPr>
        <w:t>proportional hazard</w:t>
      </w:r>
      <w:r w:rsidR="00CF61EA" w:rsidRPr="00295F7F">
        <w:rPr>
          <w:lang w:val="en-US"/>
        </w:rPr>
        <w:t xml:space="preserve"> model specification</w:t>
      </w:r>
      <w:r w:rsidR="00CF61EA">
        <w:rPr>
          <w:lang w:val="en-US"/>
        </w:rPr>
        <w:t xml:space="preserve"> with</w:t>
      </w:r>
      <w:r w:rsidR="00CF61EA" w:rsidRPr="00E2224D">
        <w:rPr>
          <w:lang w:val="en-US"/>
        </w:rPr>
        <w:t xml:space="preserve"> </w:t>
      </w:r>
      <w:r w:rsidR="00CF61EA">
        <w:rPr>
          <w:lang w:val="en-US"/>
        </w:rPr>
        <w:t>fixed effect</w:t>
      </w:r>
      <w:r w:rsidR="002B6665">
        <w:rPr>
          <w:lang w:val="en-US"/>
        </w:rPr>
        <w:t>s</w:t>
      </w:r>
      <w:r w:rsidR="00CF61EA" w:rsidRPr="00295F7F">
        <w:rPr>
          <w:lang w:val="en-US"/>
        </w:rPr>
        <w:t>:</w:t>
      </w:r>
    </w:p>
    <w:p w:rsidR="00CF61EA" w:rsidRPr="00E2224D" w:rsidRDefault="00CF61EA" w:rsidP="00CF61EA">
      <w:pPr>
        <w:spacing w:line="360" w:lineRule="auto"/>
        <w:rPr>
          <w:lang w:val="en-US"/>
        </w:rPr>
      </w:pPr>
      <w:proofErr w:type="spellStart"/>
      <w:proofErr w:type="gramStart"/>
      <w:r w:rsidRPr="004C2F70">
        <w:rPr>
          <w:lang w:val="en-US"/>
        </w:rPr>
        <w:t>h</w:t>
      </w:r>
      <w:r w:rsidRPr="00E2224D">
        <w:rPr>
          <w:vertAlign w:val="subscript"/>
          <w:lang w:val="en-US"/>
        </w:rPr>
        <w:t>ij</w:t>
      </w:r>
      <w:proofErr w:type="spellEnd"/>
      <w:r w:rsidRPr="00E2224D">
        <w:rPr>
          <w:lang w:val="en-US"/>
        </w:rPr>
        <w:t>(</w:t>
      </w:r>
      <w:proofErr w:type="gramEnd"/>
      <w:r>
        <w:rPr>
          <w:lang w:val="en-US"/>
        </w:rPr>
        <w:t>t</w:t>
      </w:r>
      <w:r w:rsidRPr="00E2224D">
        <w:rPr>
          <w:lang w:val="en-US"/>
        </w:rPr>
        <w:t xml:space="preserve">) = </w:t>
      </w:r>
      <w:r w:rsidRPr="00CE1191">
        <w:t>α</w:t>
      </w:r>
      <w:r>
        <w:rPr>
          <w:lang w:val="en-US"/>
        </w:rPr>
        <w:t>.</w:t>
      </w:r>
      <w:proofErr w:type="spellStart"/>
      <w:r w:rsidRPr="00CE1191">
        <w:rPr>
          <w:lang w:val="en-US"/>
        </w:rPr>
        <w:t>D</w:t>
      </w:r>
      <w:r w:rsidRPr="005042EF">
        <w:rPr>
          <w:vertAlign w:val="subscript"/>
          <w:lang w:val="en-US"/>
        </w:rPr>
        <w:t>ij</w:t>
      </w:r>
      <w:proofErr w:type="spellEnd"/>
      <w:r w:rsidRPr="00E2224D">
        <w:rPr>
          <w:lang w:val="en-US"/>
        </w:rPr>
        <w:t xml:space="preserve"> + </w:t>
      </w:r>
      <w:r w:rsidRPr="00295F7F">
        <w:t>β</w:t>
      </w:r>
      <w:r w:rsidRPr="00CE1191">
        <w:rPr>
          <w:lang w:val="en-US"/>
        </w:rPr>
        <w:t>.</w:t>
      </w:r>
      <w:proofErr w:type="spellStart"/>
      <w:r w:rsidRPr="00E2224D">
        <w:rPr>
          <w:lang w:val="en-US"/>
        </w:rPr>
        <w:t>X</w:t>
      </w:r>
      <w:r w:rsidRPr="00E2224D">
        <w:rPr>
          <w:vertAlign w:val="subscript"/>
          <w:lang w:val="en-US"/>
        </w:rPr>
        <w:t>ij</w:t>
      </w:r>
      <w:proofErr w:type="spellEnd"/>
      <w:r w:rsidRPr="00E2224D">
        <w:rPr>
          <w:lang w:val="en-US"/>
        </w:rPr>
        <w:t xml:space="preserve"> + </w:t>
      </w:r>
      <w:r w:rsidRPr="00295F7F">
        <w:t>γ</w:t>
      </w:r>
      <w:r w:rsidRPr="00CE1191">
        <w:rPr>
          <w:vertAlign w:val="subscript"/>
          <w:lang w:val="en-US"/>
        </w:rPr>
        <w:t>j</w:t>
      </w:r>
      <w:r w:rsidRPr="004C2F70">
        <w:rPr>
          <w:lang w:val="en-US"/>
        </w:rPr>
        <w:t xml:space="preserve"> (t) </w:t>
      </w:r>
      <w:r w:rsidR="00C91D61">
        <w:rPr>
          <w:lang w:val="en-US"/>
        </w:rPr>
        <w:t>,</w:t>
      </w:r>
      <w:r w:rsidR="00C91D61">
        <w:rPr>
          <w:lang w:val="en-US"/>
        </w:rPr>
        <w:tab/>
      </w:r>
      <w:r w:rsidR="00C91D61">
        <w:rPr>
          <w:lang w:val="en-US"/>
        </w:rPr>
        <w:tab/>
        <w:t>(2</w:t>
      </w:r>
      <w:r w:rsidRPr="00E2224D">
        <w:rPr>
          <w:lang w:val="en-US"/>
        </w:rPr>
        <w:t>)</w:t>
      </w:r>
    </w:p>
    <w:p w:rsidR="00CF61EA" w:rsidRDefault="00CF61EA" w:rsidP="00CF61EA">
      <w:pPr>
        <w:spacing w:line="360" w:lineRule="auto"/>
        <w:rPr>
          <w:lang w:val="en-US"/>
        </w:rPr>
      </w:pPr>
      <w:r w:rsidRPr="00295F7F">
        <w:rPr>
          <w:lang w:val="en-US"/>
        </w:rPr>
        <w:t xml:space="preserve">where </w:t>
      </w:r>
      <w:proofErr w:type="spellStart"/>
      <w:r>
        <w:rPr>
          <w:lang w:val="en-US"/>
        </w:rPr>
        <w:t>h</w:t>
      </w:r>
      <w:r w:rsidRPr="00295F7F">
        <w:rPr>
          <w:vertAlign w:val="subscript"/>
          <w:lang w:val="en-US"/>
        </w:rPr>
        <w:t>ij</w:t>
      </w:r>
      <w:proofErr w:type="spellEnd"/>
      <w:r w:rsidRPr="00295F7F">
        <w:rPr>
          <w:lang w:val="en-US"/>
        </w:rPr>
        <w:t>(</w:t>
      </w:r>
      <w:r>
        <w:rPr>
          <w:lang w:val="en-US"/>
        </w:rPr>
        <w:t>t</w:t>
      </w:r>
      <w:r w:rsidRPr="00295F7F">
        <w:rPr>
          <w:lang w:val="en-US"/>
        </w:rPr>
        <w:t>) denotes the l</w:t>
      </w:r>
      <w:r>
        <w:rPr>
          <w:lang w:val="en-US"/>
        </w:rPr>
        <w:t>ogarithm of the hazard rate of</w:t>
      </w:r>
      <w:r w:rsidRPr="00295F7F">
        <w:rPr>
          <w:lang w:val="en-US"/>
        </w:rPr>
        <w:t xml:space="preserve"> worker </w:t>
      </w:r>
      <w:r w:rsidRPr="00393FFC">
        <w:rPr>
          <w:i/>
          <w:lang w:val="en-US"/>
        </w:rPr>
        <w:t>i</w:t>
      </w:r>
      <w:r>
        <w:rPr>
          <w:i/>
          <w:iCs/>
          <w:lang w:val="en-US"/>
        </w:rPr>
        <w:t xml:space="preserve"> </w:t>
      </w:r>
      <w:r>
        <w:rPr>
          <w:lang w:val="en-US"/>
        </w:rPr>
        <w:t>completing h</w:t>
      </w:r>
      <w:r w:rsidR="00D4254F">
        <w:rPr>
          <w:lang w:val="en-US"/>
        </w:rPr>
        <w:t>er</w:t>
      </w:r>
      <w:r>
        <w:rPr>
          <w:lang w:val="en-US"/>
        </w:rPr>
        <w:t xml:space="preserve"> employment spell </w:t>
      </w:r>
      <w:r w:rsidRPr="00295F7F">
        <w:rPr>
          <w:lang w:val="en-US"/>
        </w:rPr>
        <w:t xml:space="preserve">at </w:t>
      </w:r>
      <w:r>
        <w:rPr>
          <w:lang w:val="en-US"/>
        </w:rPr>
        <w:t>establishment</w:t>
      </w:r>
      <w:r w:rsidRPr="00295F7F">
        <w:rPr>
          <w:lang w:val="en-US"/>
        </w:rPr>
        <w:t xml:space="preserve"> </w:t>
      </w:r>
      <w:r w:rsidRPr="00295F7F">
        <w:rPr>
          <w:i/>
          <w:iCs/>
          <w:lang w:val="en-US"/>
        </w:rPr>
        <w:t>j</w:t>
      </w:r>
      <w:r>
        <w:rPr>
          <w:i/>
          <w:iCs/>
          <w:lang w:val="en-US"/>
        </w:rPr>
        <w:t xml:space="preserve"> </w:t>
      </w:r>
      <w:r>
        <w:rPr>
          <w:lang w:val="en-US"/>
        </w:rPr>
        <w:t>at a length t</w:t>
      </w:r>
      <w:r w:rsidRPr="00295F7F">
        <w:rPr>
          <w:lang w:val="en-US"/>
        </w:rPr>
        <w:t xml:space="preserve">. </w:t>
      </w:r>
      <w:proofErr w:type="spellStart"/>
      <w:r w:rsidRPr="00295F7F">
        <w:rPr>
          <w:lang w:val="en-US"/>
        </w:rPr>
        <w:t>D</w:t>
      </w:r>
      <w:r w:rsidRPr="00295F7F">
        <w:rPr>
          <w:vertAlign w:val="subscript"/>
          <w:lang w:val="en-US"/>
        </w:rPr>
        <w:t>ij</w:t>
      </w:r>
      <w:proofErr w:type="spellEnd"/>
      <w:r w:rsidRPr="00295F7F">
        <w:rPr>
          <w:lang w:val="en-US"/>
        </w:rPr>
        <w:t xml:space="preserve"> are </w:t>
      </w:r>
      <w:r w:rsidR="00F375C2">
        <w:rPr>
          <w:lang w:val="en-US"/>
        </w:rPr>
        <w:t xml:space="preserve">workers </w:t>
      </w:r>
      <w:r w:rsidRPr="00295F7F">
        <w:rPr>
          <w:lang w:val="en-US"/>
        </w:rPr>
        <w:t>age-group dummies,</w:t>
      </w:r>
      <w:r>
        <w:rPr>
          <w:lang w:val="en-US"/>
        </w:rPr>
        <w:t xml:space="preserve"> and</w:t>
      </w:r>
      <w:r w:rsidRPr="00295F7F">
        <w:rPr>
          <w:lang w:val="en-US"/>
        </w:rPr>
        <w:t xml:space="preserve"> </w:t>
      </w:r>
      <w:proofErr w:type="spellStart"/>
      <w:r w:rsidRPr="00295F7F">
        <w:rPr>
          <w:lang w:val="en-US"/>
        </w:rPr>
        <w:t>X</w:t>
      </w:r>
      <w:r w:rsidRPr="00295F7F">
        <w:rPr>
          <w:vertAlign w:val="subscript"/>
          <w:lang w:val="en-US"/>
        </w:rPr>
        <w:t>ij</w:t>
      </w:r>
      <w:proofErr w:type="spellEnd"/>
      <w:r w:rsidRPr="00295F7F">
        <w:rPr>
          <w:lang w:val="en-US"/>
        </w:rPr>
        <w:t xml:space="preserve"> are observable characteristics of workers and </w:t>
      </w:r>
      <w:r>
        <w:rPr>
          <w:lang w:val="en-US"/>
        </w:rPr>
        <w:t>establishment</w:t>
      </w:r>
      <w:r w:rsidRPr="00295F7F">
        <w:rPr>
          <w:lang w:val="en-US"/>
        </w:rPr>
        <w:t xml:space="preserve">s (to be detailed </w:t>
      </w:r>
      <w:r w:rsidRPr="00295F7F">
        <w:rPr>
          <w:lang w:val="en-US"/>
        </w:rPr>
        <w:lastRenderedPageBreak/>
        <w:t>below)</w:t>
      </w:r>
      <w:r>
        <w:rPr>
          <w:lang w:val="en-US"/>
        </w:rPr>
        <w:t xml:space="preserve">. These variables are measured at the start of the </w:t>
      </w:r>
      <w:r w:rsidR="00C91D61">
        <w:rPr>
          <w:lang w:val="en-US"/>
        </w:rPr>
        <w:t>corresponding</w:t>
      </w:r>
      <w:r>
        <w:rPr>
          <w:lang w:val="en-US"/>
        </w:rPr>
        <w:t xml:space="preserve"> employment spell. </w:t>
      </w:r>
      <w:r w:rsidR="00C91D61">
        <w:rPr>
          <w:lang w:val="en-US"/>
        </w:rPr>
        <w:t xml:space="preserve">The term </w:t>
      </w:r>
      <w:proofErr w:type="gramStart"/>
      <w:r w:rsidRPr="00295F7F">
        <w:t>γ</w:t>
      </w:r>
      <w:r w:rsidRPr="00CE1191">
        <w:rPr>
          <w:vertAlign w:val="subscript"/>
          <w:lang w:val="en-US"/>
        </w:rPr>
        <w:t>j</w:t>
      </w:r>
      <w:r w:rsidRPr="004C2F70">
        <w:rPr>
          <w:lang w:val="en-US"/>
        </w:rPr>
        <w:t>(</w:t>
      </w:r>
      <w:proofErr w:type="gramEnd"/>
      <w:r w:rsidRPr="004C2F70">
        <w:rPr>
          <w:lang w:val="en-US"/>
        </w:rPr>
        <w:t xml:space="preserve">.) </w:t>
      </w:r>
      <w:r>
        <w:rPr>
          <w:lang w:val="en-US"/>
        </w:rPr>
        <w:t>is the baseline hazard function of the employment spells</w:t>
      </w:r>
      <w:r w:rsidRPr="00295F7F">
        <w:rPr>
          <w:lang w:val="en-US"/>
        </w:rPr>
        <w:t xml:space="preserve">. </w:t>
      </w:r>
      <w:r>
        <w:rPr>
          <w:lang w:val="en-US"/>
        </w:rPr>
        <w:t xml:space="preserve">As we use </w:t>
      </w:r>
      <w:r w:rsidR="002B6665">
        <w:rPr>
          <w:lang w:val="en-US"/>
        </w:rPr>
        <w:t xml:space="preserve">a </w:t>
      </w:r>
      <w:r>
        <w:rPr>
          <w:lang w:val="en-US"/>
        </w:rPr>
        <w:t xml:space="preserve">Cox version of </w:t>
      </w:r>
      <w:r w:rsidR="002B6665">
        <w:rPr>
          <w:lang w:val="en-US"/>
        </w:rPr>
        <w:t xml:space="preserve">the </w:t>
      </w:r>
      <w:r>
        <w:rPr>
          <w:lang w:val="en-US"/>
        </w:rPr>
        <w:t xml:space="preserve">proportional likelihood estimator, there is no need to specify any parametric form for the baseline hazard. </w:t>
      </w:r>
    </w:p>
    <w:p w:rsidR="00CF61EA" w:rsidRDefault="00CF61EA" w:rsidP="00CF61EA">
      <w:pPr>
        <w:spacing w:line="360" w:lineRule="auto"/>
        <w:rPr>
          <w:lang w:val="en-US"/>
        </w:rPr>
      </w:pPr>
      <w:r w:rsidRPr="00295F7F">
        <w:rPr>
          <w:lang w:val="en-US"/>
        </w:rPr>
        <w:t xml:space="preserve">The key </w:t>
      </w:r>
      <w:r>
        <w:rPr>
          <w:lang w:val="en-US"/>
        </w:rPr>
        <w:t>departure of our specification from conventional proportional hazard models is to allow variations of the baseline hazard across establishments.</w:t>
      </w:r>
      <w:r>
        <w:rPr>
          <w:rStyle w:val="Refdenotaderodap"/>
          <w:lang w:val="en-US"/>
        </w:rPr>
        <w:footnoteReference w:id="19"/>
      </w:r>
      <w:r w:rsidRPr="00295F7F">
        <w:rPr>
          <w:lang w:val="en-US"/>
        </w:rPr>
        <w:t xml:space="preserve"> </w:t>
      </w:r>
      <w:r>
        <w:rPr>
          <w:lang w:val="en-US"/>
        </w:rPr>
        <w:t xml:space="preserve">This </w:t>
      </w:r>
      <w:r w:rsidR="00867AD0">
        <w:rPr>
          <w:lang w:val="en-US"/>
        </w:rPr>
        <w:t>takes into account</w:t>
      </w:r>
      <w:r>
        <w:rPr>
          <w:lang w:val="en-US"/>
        </w:rPr>
        <w:t xml:space="preserve"> any </w:t>
      </w:r>
      <w:r w:rsidR="00F375C2">
        <w:rPr>
          <w:lang w:val="en-US"/>
        </w:rPr>
        <w:t xml:space="preserve">non-observable </w:t>
      </w:r>
      <w:r>
        <w:rPr>
          <w:lang w:val="en-US"/>
        </w:rPr>
        <w:t xml:space="preserve">specificity at </w:t>
      </w:r>
      <w:r w:rsidR="00D4254F">
        <w:rPr>
          <w:lang w:val="en-US"/>
        </w:rPr>
        <w:t xml:space="preserve">the </w:t>
      </w:r>
      <w:r>
        <w:rPr>
          <w:lang w:val="en-US"/>
        </w:rPr>
        <w:t xml:space="preserve">firm level that may affect the hazards of </w:t>
      </w:r>
      <w:r w:rsidR="00C91D61">
        <w:rPr>
          <w:lang w:val="en-US"/>
        </w:rPr>
        <w:t>its</w:t>
      </w:r>
      <w:r>
        <w:rPr>
          <w:lang w:val="en-US"/>
        </w:rPr>
        <w:t xml:space="preserve"> employees, even if such specificity is also correlated with any other observable characteristic.</w:t>
      </w:r>
      <w:r>
        <w:rPr>
          <w:rStyle w:val="Refdenotaderodap"/>
          <w:lang w:val="en-US"/>
        </w:rPr>
        <w:footnoteReference w:id="20"/>
      </w:r>
      <w:r>
        <w:rPr>
          <w:lang w:val="en-US"/>
        </w:rPr>
        <w:t xml:space="preserve"> This strategy enhances the credibility of our identification strategy as does the inclusion of a fixed effect term in conventional regression models with panel data.</w:t>
      </w:r>
      <w:r>
        <w:rPr>
          <w:rStyle w:val="Refdenotaderodap"/>
          <w:lang w:val="en-US"/>
        </w:rPr>
        <w:footnoteReference w:id="21"/>
      </w:r>
      <w:r>
        <w:rPr>
          <w:lang w:val="en-US"/>
        </w:rPr>
        <w:t xml:space="preserve"> </w:t>
      </w:r>
      <w:r w:rsidRPr="00295F7F">
        <w:rPr>
          <w:lang w:val="en-US"/>
        </w:rPr>
        <w:t xml:space="preserve">As mentioned before, workers with similar observable characteristics could have different </w:t>
      </w:r>
      <w:r w:rsidR="00867AD0">
        <w:rPr>
          <w:lang w:val="en-US"/>
        </w:rPr>
        <w:t xml:space="preserve">separation </w:t>
      </w:r>
      <w:r w:rsidRPr="00295F7F">
        <w:rPr>
          <w:lang w:val="en-US"/>
        </w:rPr>
        <w:t xml:space="preserve">rates because of heterogeneity across firms in unobservable characteristics (like </w:t>
      </w:r>
      <w:r w:rsidR="003107CF">
        <w:rPr>
          <w:lang w:val="en-US"/>
        </w:rPr>
        <w:t>manager</w:t>
      </w:r>
      <w:r w:rsidRPr="00295F7F">
        <w:rPr>
          <w:lang w:val="en-US"/>
        </w:rPr>
        <w:t xml:space="preserve"> t</w:t>
      </w:r>
      <w:r w:rsidR="003107CF">
        <w:rPr>
          <w:lang w:val="en-US"/>
        </w:rPr>
        <w:t>olerance</w:t>
      </w:r>
      <w:r w:rsidRPr="00295F7F">
        <w:rPr>
          <w:lang w:val="en-US"/>
        </w:rPr>
        <w:t xml:space="preserve"> </w:t>
      </w:r>
      <w:r w:rsidR="0004695E">
        <w:rPr>
          <w:lang w:val="en-US"/>
        </w:rPr>
        <w:t>with</w:t>
      </w:r>
      <w:r w:rsidRPr="00295F7F">
        <w:rPr>
          <w:lang w:val="en-US"/>
        </w:rPr>
        <w:t xml:space="preserve"> </w:t>
      </w:r>
      <w:r w:rsidR="0004695E">
        <w:rPr>
          <w:lang w:val="en-US"/>
        </w:rPr>
        <w:t xml:space="preserve">either </w:t>
      </w:r>
      <w:r w:rsidRPr="00295F7F">
        <w:rPr>
          <w:lang w:val="en-US"/>
        </w:rPr>
        <w:t xml:space="preserve">worker </w:t>
      </w:r>
      <w:r w:rsidR="0004695E">
        <w:rPr>
          <w:lang w:val="en-US"/>
        </w:rPr>
        <w:t>performance or behavior in the workplace</w:t>
      </w:r>
      <w:r w:rsidRPr="00295F7F">
        <w:rPr>
          <w:lang w:val="en-US"/>
        </w:rPr>
        <w:t xml:space="preserve">). </w:t>
      </w:r>
      <w:r>
        <w:rPr>
          <w:lang w:val="en-US"/>
        </w:rPr>
        <w:t>Allowing establishment idiosyncratic</w:t>
      </w:r>
      <w:r w:rsidRPr="00295F7F">
        <w:rPr>
          <w:lang w:val="en-US"/>
        </w:rPr>
        <w:t xml:space="preserve"> effects</w:t>
      </w:r>
      <w:r>
        <w:rPr>
          <w:lang w:val="en-US"/>
        </w:rPr>
        <w:t xml:space="preserve"> as specific baseline hazard rates</w:t>
      </w:r>
      <w:r w:rsidRPr="00295F7F">
        <w:rPr>
          <w:lang w:val="en-US"/>
        </w:rPr>
        <w:t xml:space="preserve"> allows us to compare workers </w:t>
      </w:r>
      <w:r w:rsidR="00833FA1">
        <w:rPr>
          <w:lang w:val="en-US"/>
        </w:rPr>
        <w:t xml:space="preserve">that are in </w:t>
      </w:r>
      <w:r w:rsidRPr="00295F7F">
        <w:rPr>
          <w:lang w:val="en-US"/>
        </w:rPr>
        <w:t xml:space="preserve">the same </w:t>
      </w:r>
      <w:r>
        <w:rPr>
          <w:lang w:val="en-US"/>
        </w:rPr>
        <w:t>establishment</w:t>
      </w:r>
      <w:r w:rsidR="00833FA1">
        <w:rPr>
          <w:lang w:val="en-US"/>
        </w:rPr>
        <w:t xml:space="preserve"> (and</w:t>
      </w:r>
      <w:r w:rsidRPr="00295F7F">
        <w:rPr>
          <w:lang w:val="en-US"/>
        </w:rPr>
        <w:t xml:space="preserve"> therefore subject to </w:t>
      </w:r>
      <w:r w:rsidR="00833FA1">
        <w:rPr>
          <w:lang w:val="en-US"/>
        </w:rPr>
        <w:t xml:space="preserve">the </w:t>
      </w:r>
      <w:r w:rsidRPr="00295F7F">
        <w:rPr>
          <w:lang w:val="en-US"/>
        </w:rPr>
        <w:t xml:space="preserve">same </w:t>
      </w:r>
      <w:r w:rsidR="00833FA1">
        <w:rPr>
          <w:lang w:val="en-US"/>
        </w:rPr>
        <w:t>idiosyncratic</w:t>
      </w:r>
      <w:r w:rsidR="00833FA1" w:rsidRPr="00295F7F">
        <w:rPr>
          <w:lang w:val="en-US"/>
        </w:rPr>
        <w:t xml:space="preserve"> </w:t>
      </w:r>
      <w:r w:rsidRPr="00295F7F">
        <w:rPr>
          <w:lang w:val="en-US"/>
        </w:rPr>
        <w:t>factors</w:t>
      </w:r>
      <w:r w:rsidR="00833FA1">
        <w:rPr>
          <w:lang w:val="en-US"/>
        </w:rPr>
        <w:t>)</w:t>
      </w:r>
      <w:r w:rsidRPr="00295F7F">
        <w:rPr>
          <w:lang w:val="en-US"/>
        </w:rPr>
        <w:t xml:space="preserve">. This information is delivered by the parameter α, which informs how the </w:t>
      </w:r>
      <w:r>
        <w:rPr>
          <w:lang w:val="en-US"/>
        </w:rPr>
        <w:t xml:space="preserve">hazard </w:t>
      </w:r>
      <w:r w:rsidR="00107671">
        <w:rPr>
          <w:lang w:val="en-US"/>
        </w:rPr>
        <w:t>rates</w:t>
      </w:r>
      <w:r w:rsidR="00107671" w:rsidRPr="00295F7F">
        <w:rPr>
          <w:lang w:val="en-US"/>
        </w:rPr>
        <w:t xml:space="preserve"> vary</w:t>
      </w:r>
      <w:r w:rsidRPr="00295F7F">
        <w:rPr>
          <w:lang w:val="en-US"/>
        </w:rPr>
        <w:t xml:space="preserve"> among similar workers in the same firm by age group.</w:t>
      </w:r>
    </w:p>
    <w:p w:rsidR="009A49E8" w:rsidRDefault="00CF61EA" w:rsidP="00CF61EA">
      <w:pPr>
        <w:spacing w:line="360" w:lineRule="auto"/>
        <w:rPr>
          <w:lang w:val="en-US"/>
        </w:rPr>
      </w:pPr>
      <w:r>
        <w:rPr>
          <w:lang w:val="en-US"/>
        </w:rPr>
        <w:t xml:space="preserve">As pointed </w:t>
      </w:r>
      <w:r w:rsidR="00D4254F">
        <w:rPr>
          <w:lang w:val="en-US"/>
        </w:rPr>
        <w:t xml:space="preserve">out </w:t>
      </w:r>
      <w:r>
        <w:rPr>
          <w:lang w:val="en-US"/>
        </w:rPr>
        <w:t xml:space="preserve">by Chamberlain (1985) we can use partial likelihood </w:t>
      </w:r>
      <w:r w:rsidR="00833FA1">
        <w:rPr>
          <w:lang w:val="en-US"/>
        </w:rPr>
        <w:t xml:space="preserve">(PL) </w:t>
      </w:r>
      <w:r>
        <w:rPr>
          <w:lang w:val="en-US"/>
        </w:rPr>
        <w:t xml:space="preserve">methods to get rid of </w:t>
      </w:r>
      <w:proofErr w:type="gramStart"/>
      <w:r w:rsidRPr="00295F7F">
        <w:t>γ</w:t>
      </w:r>
      <w:r w:rsidRPr="00E2224D">
        <w:rPr>
          <w:vertAlign w:val="subscript"/>
          <w:lang w:val="en-US"/>
        </w:rPr>
        <w:t>j</w:t>
      </w:r>
      <w:r w:rsidRPr="004C2F70">
        <w:rPr>
          <w:lang w:val="en-US"/>
        </w:rPr>
        <w:t>(</w:t>
      </w:r>
      <w:proofErr w:type="gramEnd"/>
      <w:r w:rsidRPr="004C2F70">
        <w:rPr>
          <w:lang w:val="en-US"/>
        </w:rPr>
        <w:t>.)</w:t>
      </w:r>
      <w:r>
        <w:rPr>
          <w:lang w:val="en-US"/>
        </w:rPr>
        <w:t xml:space="preserve"> and estimate the model without further complications. Allison (1996) shows that such estimator, which he refers as fixed-effect partial likelihood, performs very well with simulated data despite Chamberlain’s concerns with the validity of one assumption for PL methods in the context of duration models.</w:t>
      </w:r>
      <w:r>
        <w:rPr>
          <w:rStyle w:val="Refdenotaderodap"/>
          <w:lang w:val="en-US"/>
        </w:rPr>
        <w:footnoteReference w:id="22"/>
      </w:r>
      <w:r>
        <w:rPr>
          <w:lang w:val="en-US"/>
        </w:rPr>
        <w:t xml:space="preserve">  </w:t>
      </w:r>
    </w:p>
    <w:p w:rsidR="006166CA" w:rsidRDefault="00C8674D" w:rsidP="00BD7D66">
      <w:pPr>
        <w:spacing w:line="360" w:lineRule="auto"/>
        <w:rPr>
          <w:lang w:val="en-US"/>
        </w:rPr>
      </w:pPr>
      <w:r>
        <w:rPr>
          <w:lang w:val="en-US"/>
        </w:rPr>
        <w:lastRenderedPageBreak/>
        <w:t>For the analysis of hazard rates</w:t>
      </w:r>
      <w:r w:rsidR="00393FFC" w:rsidRPr="005903BB">
        <w:rPr>
          <w:lang w:val="en-US"/>
        </w:rPr>
        <w:t>, w</w:t>
      </w:r>
      <w:r w:rsidR="00473188" w:rsidRPr="005903BB">
        <w:rPr>
          <w:lang w:val="en-US"/>
        </w:rPr>
        <w:t xml:space="preserve">e use all episodes of </w:t>
      </w:r>
      <w:proofErr w:type="spellStart"/>
      <w:r w:rsidR="00883E5D" w:rsidRPr="005903BB">
        <w:rPr>
          <w:lang w:val="en-US"/>
        </w:rPr>
        <w:t>hiring</w:t>
      </w:r>
      <w:r w:rsidR="00107671">
        <w:rPr>
          <w:lang w:val="en-US"/>
        </w:rPr>
        <w:t>s</w:t>
      </w:r>
      <w:proofErr w:type="spellEnd"/>
      <w:r w:rsidR="00473188" w:rsidRPr="005903BB">
        <w:rPr>
          <w:lang w:val="en-US"/>
        </w:rPr>
        <w:t xml:space="preserve"> that </w:t>
      </w:r>
      <w:r w:rsidR="00883E5D" w:rsidRPr="005903BB">
        <w:rPr>
          <w:lang w:val="en-US"/>
        </w:rPr>
        <w:t>took place</w:t>
      </w:r>
      <w:r w:rsidR="00473188" w:rsidRPr="005903BB">
        <w:rPr>
          <w:lang w:val="en-US"/>
        </w:rPr>
        <w:t xml:space="preserve"> in the period </w:t>
      </w:r>
      <w:r w:rsidR="005903BB">
        <w:rPr>
          <w:lang w:val="en-US"/>
        </w:rPr>
        <w:t>from 1996 to 1998</w:t>
      </w:r>
      <w:r w:rsidR="00473188" w:rsidRPr="005903BB">
        <w:rPr>
          <w:lang w:val="en-US"/>
        </w:rPr>
        <w:t xml:space="preserve">. </w:t>
      </w:r>
      <w:r w:rsidR="005903BB">
        <w:rPr>
          <w:lang w:val="en-US"/>
        </w:rPr>
        <w:t>We measure the employment spell following the worker</w:t>
      </w:r>
      <w:r w:rsidR="00107671">
        <w:rPr>
          <w:lang w:val="en-US"/>
        </w:rPr>
        <w:t>-</w:t>
      </w:r>
      <w:r w:rsidR="005903BB">
        <w:rPr>
          <w:lang w:val="en-US"/>
        </w:rPr>
        <w:t>establishment match until one of three restrictions</w:t>
      </w:r>
      <w:r w:rsidR="00833FA1">
        <w:rPr>
          <w:lang w:val="en-US"/>
        </w:rPr>
        <w:t xml:space="preserve"> occurs</w:t>
      </w:r>
      <w:r w:rsidR="005903BB">
        <w:rPr>
          <w:lang w:val="en-US"/>
        </w:rPr>
        <w:t xml:space="preserve">: i) </w:t>
      </w:r>
      <w:r w:rsidR="006166CA">
        <w:rPr>
          <w:lang w:val="en-US"/>
        </w:rPr>
        <w:t xml:space="preserve">the match is broken and the establishment keeps employing other workers, ii) the establishment leaves the market (or at least disappears from RAIS), and iii) the match survives until the last year of our data (2010). If the match faces one of the two last restrictions we classified the employment spell as a censored one. </w:t>
      </w:r>
    </w:p>
    <w:p w:rsidR="00473188" w:rsidRDefault="00473188" w:rsidP="00BD7D66">
      <w:pPr>
        <w:spacing w:line="360" w:lineRule="auto"/>
        <w:rPr>
          <w:lang w:val="en-US"/>
        </w:rPr>
      </w:pPr>
      <w:r w:rsidRPr="005903BB">
        <w:rPr>
          <w:lang w:val="en-US"/>
        </w:rPr>
        <w:t>As in other applications using RAIS data, we apply some filters.</w:t>
      </w:r>
      <w:r w:rsidRPr="0011624D">
        <w:rPr>
          <w:color w:val="FF0000"/>
          <w:lang w:val="en-US"/>
        </w:rPr>
        <w:t xml:space="preserve"> </w:t>
      </w:r>
      <w:r w:rsidRPr="001E497C">
        <w:rPr>
          <w:lang w:val="en-US"/>
        </w:rPr>
        <w:t xml:space="preserve">First, we eliminate separation episodes that resulted from </w:t>
      </w:r>
      <w:r w:rsidR="00C8674D">
        <w:rPr>
          <w:lang w:val="en-US"/>
        </w:rPr>
        <w:t xml:space="preserve">individual </w:t>
      </w:r>
      <w:r w:rsidRPr="001E497C">
        <w:rPr>
          <w:lang w:val="en-US"/>
        </w:rPr>
        <w:t>death or retirement.</w:t>
      </w:r>
      <w:r w:rsidRPr="0011624D">
        <w:rPr>
          <w:color w:val="FF0000"/>
          <w:lang w:val="en-US"/>
        </w:rPr>
        <w:t xml:space="preserve"> </w:t>
      </w:r>
      <w:r w:rsidRPr="00DF17E6">
        <w:rPr>
          <w:lang w:val="en-US"/>
        </w:rPr>
        <w:t xml:space="preserve">We also exclude from the analysis </w:t>
      </w:r>
      <w:r w:rsidR="00DF17E6" w:rsidRPr="00DF17E6">
        <w:rPr>
          <w:lang w:val="en-US"/>
        </w:rPr>
        <w:t xml:space="preserve">employment spells </w:t>
      </w:r>
      <w:r w:rsidR="0082374A">
        <w:rPr>
          <w:lang w:val="en-US"/>
        </w:rPr>
        <w:t>that</w:t>
      </w:r>
      <w:r w:rsidR="00833FA1">
        <w:rPr>
          <w:lang w:val="en-US"/>
        </w:rPr>
        <w:t xml:space="preserve"> satisfy</w:t>
      </w:r>
      <w:r w:rsidR="0082374A">
        <w:rPr>
          <w:lang w:val="en-US"/>
        </w:rPr>
        <w:t xml:space="preserve">, at the initial point, at least one of the following conditions: </w:t>
      </w:r>
      <w:r w:rsidR="00BF03A8">
        <w:rPr>
          <w:lang w:val="en-US"/>
        </w:rPr>
        <w:t xml:space="preserve">worker aged 55 or older, </w:t>
      </w:r>
      <w:r w:rsidR="00DF17E6" w:rsidRPr="00DF17E6">
        <w:rPr>
          <w:lang w:val="en-US"/>
        </w:rPr>
        <w:t>in agriculture</w:t>
      </w:r>
      <w:r w:rsidR="00DF17E6">
        <w:rPr>
          <w:lang w:val="en-US"/>
        </w:rPr>
        <w:t>,</w:t>
      </w:r>
      <w:r w:rsidR="00DF17E6" w:rsidRPr="00DF17E6">
        <w:rPr>
          <w:lang w:val="en-US"/>
        </w:rPr>
        <w:t xml:space="preserve"> in the public sector</w:t>
      </w:r>
      <w:r w:rsidR="0082374A">
        <w:rPr>
          <w:lang w:val="en-US"/>
        </w:rPr>
        <w:t>,</w:t>
      </w:r>
      <w:r w:rsidR="00DF17E6">
        <w:rPr>
          <w:lang w:val="en-US"/>
        </w:rPr>
        <w:t xml:space="preserve"> </w:t>
      </w:r>
      <w:r w:rsidR="00D4254F">
        <w:rPr>
          <w:lang w:val="en-US"/>
        </w:rPr>
        <w:t xml:space="preserve">or </w:t>
      </w:r>
      <w:r w:rsidR="00DF17E6">
        <w:rPr>
          <w:lang w:val="en-US"/>
        </w:rPr>
        <w:t>under a temporary contract</w:t>
      </w:r>
      <w:r w:rsidRPr="00DF17E6">
        <w:rPr>
          <w:lang w:val="en-US"/>
        </w:rPr>
        <w:t xml:space="preserve">. </w:t>
      </w:r>
      <w:r w:rsidR="005042EF">
        <w:rPr>
          <w:lang w:val="en-US"/>
        </w:rPr>
        <w:t>These procedures leave</w:t>
      </w:r>
      <w:r w:rsidR="00DB55D0">
        <w:rPr>
          <w:lang w:val="en-US"/>
        </w:rPr>
        <w:t xml:space="preserve"> our sample with </w:t>
      </w:r>
      <w:r w:rsidR="00DB55D0" w:rsidRPr="00DB55D0">
        <w:rPr>
          <w:lang w:val="en-US"/>
        </w:rPr>
        <w:t>27</w:t>
      </w:r>
      <w:r w:rsidR="00D4254F">
        <w:rPr>
          <w:lang w:val="en-US"/>
        </w:rPr>
        <w:t>,</w:t>
      </w:r>
      <w:r w:rsidR="00DB55D0" w:rsidRPr="00DB55D0">
        <w:rPr>
          <w:lang w:val="en-US"/>
        </w:rPr>
        <w:t>162</w:t>
      </w:r>
      <w:r w:rsidR="00D4254F">
        <w:rPr>
          <w:lang w:val="en-US"/>
        </w:rPr>
        <w:t>,</w:t>
      </w:r>
      <w:r w:rsidR="00DB55D0" w:rsidRPr="00DB55D0">
        <w:rPr>
          <w:lang w:val="en-US"/>
        </w:rPr>
        <w:t>416</w:t>
      </w:r>
      <w:r w:rsidR="00DB55D0" w:rsidRPr="00DF17E6">
        <w:rPr>
          <w:lang w:val="en-US"/>
        </w:rPr>
        <w:t xml:space="preserve"> </w:t>
      </w:r>
      <w:r w:rsidR="00DB55D0">
        <w:rPr>
          <w:lang w:val="en-US"/>
        </w:rPr>
        <w:t xml:space="preserve">employment spells. </w:t>
      </w:r>
      <w:r w:rsidRPr="00DF17E6">
        <w:rPr>
          <w:lang w:val="en-US"/>
        </w:rPr>
        <w:t xml:space="preserve">For each </w:t>
      </w:r>
      <w:r w:rsidR="00DF17E6" w:rsidRPr="00DF17E6">
        <w:rPr>
          <w:lang w:val="en-US"/>
        </w:rPr>
        <w:t>employment spell</w:t>
      </w:r>
      <w:r w:rsidRPr="00DF17E6">
        <w:rPr>
          <w:lang w:val="en-US"/>
        </w:rPr>
        <w:t xml:space="preserve"> we collected </w:t>
      </w:r>
      <w:r w:rsidR="00D4254F">
        <w:rPr>
          <w:lang w:val="en-US"/>
        </w:rPr>
        <w:t xml:space="preserve">information on </w:t>
      </w:r>
      <w:r w:rsidR="00DF17E6" w:rsidRPr="00DF17E6">
        <w:rPr>
          <w:lang w:val="en-US"/>
        </w:rPr>
        <w:t>workers</w:t>
      </w:r>
      <w:r w:rsidRPr="00DF17E6">
        <w:rPr>
          <w:lang w:val="en-US"/>
        </w:rPr>
        <w:t xml:space="preserve"> age</w:t>
      </w:r>
      <w:r w:rsidR="00DF17E6" w:rsidRPr="00DF17E6">
        <w:rPr>
          <w:lang w:val="en-US"/>
        </w:rPr>
        <w:t>, gender</w:t>
      </w:r>
      <w:r w:rsidR="00BC39A5">
        <w:rPr>
          <w:lang w:val="en-US"/>
        </w:rPr>
        <w:t>,</w:t>
      </w:r>
      <w:r w:rsidR="00DF17E6" w:rsidRPr="00DF17E6">
        <w:rPr>
          <w:lang w:val="en-US"/>
        </w:rPr>
        <w:t xml:space="preserve"> schooling level</w:t>
      </w:r>
      <w:r w:rsidR="00D4254F">
        <w:rPr>
          <w:lang w:val="en-US"/>
        </w:rPr>
        <w:t>,</w:t>
      </w:r>
      <w:r w:rsidR="00DF17E6" w:rsidRPr="00DF17E6">
        <w:rPr>
          <w:lang w:val="en-US"/>
        </w:rPr>
        <w:t xml:space="preserve"> and contractual number of hours</w:t>
      </w:r>
      <w:r w:rsidRPr="00DF17E6">
        <w:rPr>
          <w:lang w:val="en-US"/>
        </w:rPr>
        <w:t>.</w:t>
      </w:r>
    </w:p>
    <w:p w:rsidR="00867AD0" w:rsidRDefault="00473188" w:rsidP="00D17BF5">
      <w:pPr>
        <w:spacing w:line="360" w:lineRule="auto"/>
        <w:rPr>
          <w:lang w:val="en-US"/>
        </w:rPr>
      </w:pPr>
      <w:r>
        <w:rPr>
          <w:lang w:val="en-US"/>
        </w:rPr>
        <w:t xml:space="preserve">In order to get more intuition from the results, we </w:t>
      </w:r>
      <w:r w:rsidR="00AD16F6">
        <w:rPr>
          <w:lang w:val="en-US"/>
        </w:rPr>
        <w:t xml:space="preserve">present </w:t>
      </w:r>
      <w:r>
        <w:rPr>
          <w:lang w:val="en-US"/>
        </w:rPr>
        <w:t xml:space="preserve">two alternative specifications for the </w:t>
      </w:r>
      <w:r w:rsidR="00883E5D">
        <w:rPr>
          <w:lang w:val="en-US"/>
        </w:rPr>
        <w:t>hazard</w:t>
      </w:r>
      <w:r>
        <w:rPr>
          <w:lang w:val="en-US"/>
        </w:rPr>
        <w:t xml:space="preserve"> model</w:t>
      </w:r>
      <w:r w:rsidR="00BC39A5">
        <w:rPr>
          <w:lang w:val="en-US"/>
        </w:rPr>
        <w:t>: t</w:t>
      </w:r>
      <w:r w:rsidR="00883E5D">
        <w:rPr>
          <w:lang w:val="en-US"/>
        </w:rPr>
        <w:t>he first include</w:t>
      </w:r>
      <w:r w:rsidR="008E5F70">
        <w:rPr>
          <w:lang w:val="en-US"/>
        </w:rPr>
        <w:t>s</w:t>
      </w:r>
      <w:r w:rsidR="00883E5D">
        <w:rPr>
          <w:lang w:val="en-US"/>
        </w:rPr>
        <w:t xml:space="preserve"> plant fixed effect</w:t>
      </w:r>
      <w:r w:rsidR="00D4254F">
        <w:rPr>
          <w:lang w:val="en-US"/>
        </w:rPr>
        <w:t>s</w:t>
      </w:r>
      <w:r w:rsidR="00883E5D">
        <w:rPr>
          <w:lang w:val="en-US"/>
        </w:rPr>
        <w:t xml:space="preserve"> and the other does </w:t>
      </w:r>
      <w:r w:rsidR="008E5F70">
        <w:rPr>
          <w:lang w:val="en-US"/>
        </w:rPr>
        <w:t>not</w:t>
      </w:r>
      <w:r>
        <w:rPr>
          <w:lang w:val="en-US"/>
        </w:rPr>
        <w:t xml:space="preserve">. </w:t>
      </w:r>
      <w:r w:rsidR="00AD16F6">
        <w:rPr>
          <w:lang w:val="en-US"/>
        </w:rPr>
        <w:t xml:space="preserve">Table </w:t>
      </w:r>
      <w:r w:rsidR="008E5F70">
        <w:rPr>
          <w:lang w:val="en-US"/>
        </w:rPr>
        <w:t>3</w:t>
      </w:r>
      <w:r w:rsidR="00AD16F6">
        <w:rPr>
          <w:lang w:val="en-US"/>
        </w:rPr>
        <w:t xml:space="preserve"> below presents the results. </w:t>
      </w:r>
      <w:r w:rsidR="00D17BF5">
        <w:rPr>
          <w:lang w:val="en-US"/>
        </w:rPr>
        <w:t xml:space="preserve">The first three </w:t>
      </w:r>
      <w:r w:rsidR="008E5F70">
        <w:rPr>
          <w:lang w:val="en-US"/>
        </w:rPr>
        <w:t xml:space="preserve">rows </w:t>
      </w:r>
      <w:r w:rsidR="00D17BF5">
        <w:rPr>
          <w:lang w:val="en-US"/>
        </w:rPr>
        <w:t xml:space="preserve">report the results for the effect of distinct age categories on the hazard rate relative to the base age category </w:t>
      </w:r>
      <w:r w:rsidR="008E5F70">
        <w:rPr>
          <w:lang w:val="en-US"/>
        </w:rPr>
        <w:t>of</w:t>
      </w:r>
      <w:r w:rsidR="00D17BF5">
        <w:rPr>
          <w:lang w:val="en-US"/>
        </w:rPr>
        <w:t xml:space="preserve"> </w:t>
      </w:r>
      <w:r w:rsidR="008E5F70">
        <w:rPr>
          <w:lang w:val="en-US"/>
        </w:rPr>
        <w:t xml:space="preserve">over </w:t>
      </w:r>
      <w:r w:rsidR="00D17BF5">
        <w:rPr>
          <w:lang w:val="en-US"/>
        </w:rPr>
        <w:t>30 years old</w:t>
      </w:r>
      <w:r w:rsidR="00D17BF5" w:rsidRPr="00D17BF5">
        <w:rPr>
          <w:lang w:val="en-US"/>
        </w:rPr>
        <w:t>.</w:t>
      </w:r>
      <w:r w:rsidR="005227B4" w:rsidRPr="00D17BF5">
        <w:rPr>
          <w:lang w:val="en-US"/>
        </w:rPr>
        <w:t xml:space="preserve"> </w:t>
      </w:r>
      <w:r>
        <w:rPr>
          <w:lang w:val="en-US"/>
        </w:rPr>
        <w:t xml:space="preserve">The first thing to notice is that the dummies </w:t>
      </w:r>
      <w:r w:rsidR="006E7513">
        <w:rPr>
          <w:lang w:val="en-US"/>
        </w:rPr>
        <w:t>for</w:t>
      </w:r>
      <w:r>
        <w:rPr>
          <w:lang w:val="en-US"/>
        </w:rPr>
        <w:t xml:space="preserve"> young ages (14 to 17 and 18 to </w:t>
      </w:r>
      <w:r w:rsidRPr="005042EF">
        <w:rPr>
          <w:lang w:val="en-US"/>
        </w:rPr>
        <w:t>23</w:t>
      </w:r>
      <w:r w:rsidRPr="005042EF">
        <w:rPr>
          <w:color w:val="FF0000"/>
          <w:lang w:val="en-US"/>
        </w:rPr>
        <w:t xml:space="preserve"> </w:t>
      </w:r>
      <w:r>
        <w:rPr>
          <w:lang w:val="en-US"/>
        </w:rPr>
        <w:t xml:space="preserve">years old) are associated with positive and significant coefficients, in </w:t>
      </w:r>
      <w:r w:rsidR="00D17BF5">
        <w:rPr>
          <w:lang w:val="en-US"/>
        </w:rPr>
        <w:t>both</w:t>
      </w:r>
      <w:r>
        <w:rPr>
          <w:lang w:val="en-US"/>
        </w:rPr>
        <w:t xml:space="preserve"> specifications. This confirms that </w:t>
      </w:r>
      <w:r w:rsidR="0004695E">
        <w:rPr>
          <w:lang w:val="en-US"/>
        </w:rPr>
        <w:t>hazard rates are</w:t>
      </w:r>
      <w:r>
        <w:rPr>
          <w:lang w:val="en-US"/>
        </w:rPr>
        <w:t xml:space="preserve"> higher for young </w:t>
      </w:r>
      <w:r w:rsidR="006E7513">
        <w:rPr>
          <w:lang w:val="en-US"/>
        </w:rPr>
        <w:t>workers</w:t>
      </w:r>
      <w:r>
        <w:rPr>
          <w:lang w:val="en-US"/>
        </w:rPr>
        <w:t>.</w:t>
      </w:r>
      <w:r w:rsidR="00D17BF5" w:rsidRPr="00D17BF5">
        <w:rPr>
          <w:lang w:val="en-US"/>
        </w:rPr>
        <w:t xml:space="preserve"> </w:t>
      </w:r>
      <w:r w:rsidR="00A1030D">
        <w:rPr>
          <w:lang w:val="en-US"/>
        </w:rPr>
        <w:t xml:space="preserve">However it </w:t>
      </w:r>
      <w:r w:rsidR="00A1030D" w:rsidRPr="00F808A8">
        <w:rPr>
          <w:lang w:val="en-US"/>
        </w:rPr>
        <w:t>is interesting to point the non-monotonic effect of</w:t>
      </w:r>
      <w:r w:rsidR="00A1030D">
        <w:rPr>
          <w:lang w:val="en-US"/>
        </w:rPr>
        <w:t xml:space="preserve"> workers age on the hazard rate. Late young workers </w:t>
      </w:r>
      <w:r w:rsidR="00C8674D">
        <w:rPr>
          <w:lang w:val="en-US"/>
        </w:rPr>
        <w:t xml:space="preserve">(18 to 23) </w:t>
      </w:r>
      <w:r w:rsidR="00A1030D">
        <w:rPr>
          <w:lang w:val="en-US"/>
        </w:rPr>
        <w:t>are associated with the highest hazard</w:t>
      </w:r>
      <w:r w:rsidR="008E5F70">
        <w:rPr>
          <w:lang w:val="en-US"/>
        </w:rPr>
        <w:t>,</w:t>
      </w:r>
      <w:r w:rsidR="00435423">
        <w:rPr>
          <w:lang w:val="en-US"/>
        </w:rPr>
        <w:t xml:space="preserve"> irrespective of the model specification.</w:t>
      </w:r>
    </w:p>
    <w:p w:rsidR="00867AD0" w:rsidRDefault="00867AD0">
      <w:pPr>
        <w:spacing w:before="0"/>
        <w:jc w:val="left"/>
        <w:rPr>
          <w:lang w:val="en-US"/>
        </w:rPr>
      </w:pPr>
      <w:r>
        <w:rPr>
          <w:lang w:val="en-US"/>
        </w:rPr>
        <w:br w:type="page"/>
      </w:r>
    </w:p>
    <w:p w:rsidR="00D17BF5" w:rsidRPr="00D17BF5" w:rsidRDefault="00D17BF5" w:rsidP="00D17BF5">
      <w:pPr>
        <w:spacing w:line="360" w:lineRule="auto"/>
        <w:rPr>
          <w:lang w:val="en-US"/>
        </w:rPr>
      </w:pPr>
    </w:p>
    <w:p w:rsidR="00473188" w:rsidRDefault="00473188" w:rsidP="00BD7D66">
      <w:pPr>
        <w:spacing w:line="360" w:lineRule="auto"/>
        <w:rPr>
          <w:lang w:val="en-US"/>
        </w:rPr>
      </w:pPr>
      <w:r>
        <w:rPr>
          <w:lang w:val="en-US"/>
        </w:rPr>
        <w:t xml:space="preserve">Table </w:t>
      </w:r>
      <w:r w:rsidR="008E5F70">
        <w:rPr>
          <w:lang w:val="en-US"/>
        </w:rPr>
        <w:t>3</w:t>
      </w:r>
      <w:r>
        <w:rPr>
          <w:lang w:val="en-US"/>
        </w:rPr>
        <w:t xml:space="preserve">: </w:t>
      </w:r>
      <w:r w:rsidR="00E64B36">
        <w:rPr>
          <w:lang w:val="en-US"/>
        </w:rPr>
        <w:t>Hazard</w:t>
      </w:r>
      <w:r>
        <w:rPr>
          <w:lang w:val="en-US"/>
        </w:rPr>
        <w:t xml:space="preserve"> estimations for the separation</w:t>
      </w:r>
      <w:r w:rsidR="00E64B36">
        <w:rPr>
          <w:lang w:val="en-US"/>
        </w:rPr>
        <w:t xml:space="preserve"> of a w</w:t>
      </w:r>
      <w:r w:rsidR="008E5F70">
        <w:rPr>
          <w:lang w:val="en-US"/>
        </w:rPr>
        <w:t>orker from the current employer</w:t>
      </w:r>
      <w:r>
        <w:rPr>
          <w:lang w:val="en-US"/>
        </w:rPr>
        <w:t xml:space="preserve"> </w:t>
      </w:r>
    </w:p>
    <w:p w:rsidR="00473188" w:rsidRPr="00317838" w:rsidRDefault="003D5539" w:rsidP="003D5539">
      <w:pPr>
        <w:spacing w:line="360" w:lineRule="auto"/>
        <w:rPr>
          <w:sz w:val="18"/>
          <w:szCs w:val="18"/>
          <w:lang w:val="en-US"/>
        </w:rPr>
      </w:pPr>
      <w:r w:rsidRPr="003D5539">
        <w:rPr>
          <w:noProof/>
          <w:lang w:val="en-US" w:eastAsia="en-US"/>
        </w:rPr>
        <w:object w:dxaOrig="9549" w:dyaOrig="43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6pt;height:186.8pt" o:ole="">
            <v:imagedata r:id="rId19" o:title=""/>
          </v:shape>
          <o:OLEObject Type="Embed" ProgID="Excel.Sheet.12" ShapeID="_x0000_i1025" DrawAspect="Content" ObjectID="_1426332443" r:id="rId20"/>
        </w:object>
      </w:r>
      <w:r w:rsidR="00473188" w:rsidRPr="00317838">
        <w:rPr>
          <w:sz w:val="18"/>
          <w:szCs w:val="18"/>
          <w:lang w:val="en-US"/>
        </w:rPr>
        <w:t>Note:</w:t>
      </w:r>
    </w:p>
    <w:p w:rsidR="00473188" w:rsidRPr="00076023" w:rsidRDefault="00473188" w:rsidP="00BD7D66">
      <w:pPr>
        <w:spacing w:before="0"/>
        <w:rPr>
          <w:sz w:val="18"/>
          <w:szCs w:val="18"/>
          <w:lang w:val="en-US"/>
        </w:rPr>
      </w:pPr>
      <w:r w:rsidRPr="00076023">
        <w:rPr>
          <w:sz w:val="18"/>
          <w:szCs w:val="18"/>
          <w:lang w:val="en-US"/>
        </w:rPr>
        <w:t>Very low education: First half of primary education</w:t>
      </w:r>
    </w:p>
    <w:p w:rsidR="00473188" w:rsidRPr="00076023" w:rsidRDefault="00473188" w:rsidP="00BD7D66">
      <w:pPr>
        <w:spacing w:before="0"/>
        <w:rPr>
          <w:sz w:val="18"/>
          <w:szCs w:val="18"/>
          <w:lang w:val="en-US"/>
        </w:rPr>
      </w:pPr>
      <w:r w:rsidRPr="00076023">
        <w:rPr>
          <w:sz w:val="18"/>
          <w:szCs w:val="18"/>
          <w:lang w:val="en-US"/>
        </w:rPr>
        <w:t>Low education: Second half of primary education (but not complete)</w:t>
      </w:r>
    </w:p>
    <w:p w:rsidR="00473188" w:rsidRPr="00076023" w:rsidRDefault="00473188" w:rsidP="00BD7D66">
      <w:pPr>
        <w:spacing w:before="0"/>
        <w:rPr>
          <w:sz w:val="18"/>
          <w:szCs w:val="18"/>
          <w:lang w:val="en-US"/>
        </w:rPr>
      </w:pPr>
      <w:r w:rsidRPr="00076023">
        <w:rPr>
          <w:sz w:val="18"/>
          <w:szCs w:val="18"/>
          <w:lang w:val="en-US"/>
        </w:rPr>
        <w:t xml:space="preserve">Medium education: Completed primary education or </w:t>
      </w:r>
      <w:r>
        <w:rPr>
          <w:sz w:val="18"/>
          <w:szCs w:val="18"/>
          <w:lang w:val="en-US"/>
        </w:rPr>
        <w:t>i</w:t>
      </w:r>
      <w:r w:rsidRPr="00076023">
        <w:rPr>
          <w:sz w:val="18"/>
          <w:szCs w:val="18"/>
          <w:lang w:val="en-US"/>
        </w:rPr>
        <w:t>ncomplete secondary education</w:t>
      </w:r>
    </w:p>
    <w:p w:rsidR="00473188" w:rsidRDefault="00473188" w:rsidP="00BD7D66">
      <w:pPr>
        <w:spacing w:before="0"/>
        <w:rPr>
          <w:sz w:val="18"/>
          <w:szCs w:val="18"/>
          <w:lang w:val="en-US"/>
        </w:rPr>
      </w:pPr>
      <w:r w:rsidRPr="00076023">
        <w:rPr>
          <w:sz w:val="18"/>
          <w:szCs w:val="18"/>
          <w:lang w:val="en-US"/>
        </w:rPr>
        <w:t>Part-time: Work 30 hours or less per week</w:t>
      </w:r>
    </w:p>
    <w:p w:rsidR="00473188" w:rsidRDefault="008E5F70" w:rsidP="00BD7D66">
      <w:pPr>
        <w:spacing w:before="0"/>
        <w:rPr>
          <w:lang w:val="en-US"/>
        </w:rPr>
      </w:pPr>
      <w:r>
        <w:rPr>
          <w:sz w:val="18"/>
          <w:szCs w:val="18"/>
          <w:lang w:val="en-US"/>
        </w:rPr>
        <w:t>Basel</w:t>
      </w:r>
      <w:r w:rsidR="00473188">
        <w:rPr>
          <w:sz w:val="18"/>
          <w:szCs w:val="18"/>
          <w:lang w:val="en-US"/>
        </w:rPr>
        <w:t xml:space="preserve"> </w:t>
      </w:r>
      <w:r>
        <w:rPr>
          <w:sz w:val="18"/>
          <w:szCs w:val="18"/>
          <w:lang w:val="en-US"/>
        </w:rPr>
        <w:t>c</w:t>
      </w:r>
      <w:r w:rsidR="00473188">
        <w:rPr>
          <w:sz w:val="18"/>
          <w:szCs w:val="18"/>
          <w:lang w:val="en-US"/>
        </w:rPr>
        <w:t xml:space="preserve">ategories: </w:t>
      </w:r>
      <w:r w:rsidR="005F2CD6">
        <w:rPr>
          <w:sz w:val="18"/>
          <w:szCs w:val="18"/>
          <w:lang w:val="en-US"/>
        </w:rPr>
        <w:t>women</w:t>
      </w:r>
      <w:r w:rsidR="00473188">
        <w:rPr>
          <w:sz w:val="18"/>
          <w:szCs w:val="18"/>
          <w:lang w:val="en-US"/>
        </w:rPr>
        <w:t xml:space="preserve"> older than 30 </w:t>
      </w:r>
      <w:proofErr w:type="gramStart"/>
      <w:r w:rsidR="00473188">
        <w:rPr>
          <w:sz w:val="18"/>
          <w:szCs w:val="18"/>
          <w:lang w:val="en-US"/>
        </w:rPr>
        <w:t>years,</w:t>
      </w:r>
      <w:proofErr w:type="gramEnd"/>
      <w:r w:rsidR="00473188">
        <w:rPr>
          <w:sz w:val="18"/>
          <w:szCs w:val="18"/>
          <w:lang w:val="en-US"/>
        </w:rPr>
        <w:t xml:space="preserve"> highly educated</w:t>
      </w:r>
      <w:r w:rsidR="005F2CD6">
        <w:rPr>
          <w:sz w:val="18"/>
          <w:szCs w:val="18"/>
          <w:lang w:val="en-US"/>
        </w:rPr>
        <w:t xml:space="preserve"> that was hired in </w:t>
      </w:r>
      <w:r w:rsidR="005903BB">
        <w:rPr>
          <w:sz w:val="18"/>
          <w:szCs w:val="18"/>
          <w:lang w:val="en-US"/>
        </w:rPr>
        <w:t>1998</w:t>
      </w:r>
      <w:r w:rsidR="00473188">
        <w:rPr>
          <w:sz w:val="18"/>
          <w:szCs w:val="18"/>
          <w:lang w:val="en-US"/>
        </w:rPr>
        <w:t>.</w:t>
      </w:r>
    </w:p>
    <w:p w:rsidR="00473188" w:rsidRDefault="00473188" w:rsidP="00BD7D66">
      <w:pPr>
        <w:spacing w:before="0" w:line="360" w:lineRule="auto"/>
        <w:rPr>
          <w:lang w:val="en-US"/>
        </w:rPr>
      </w:pPr>
    </w:p>
    <w:p w:rsidR="00BD7D66" w:rsidRDefault="00BD7D66" w:rsidP="00BD7D66">
      <w:pPr>
        <w:spacing w:before="0" w:line="360" w:lineRule="auto"/>
        <w:rPr>
          <w:lang w:val="en-US"/>
        </w:rPr>
      </w:pPr>
      <w:r>
        <w:rPr>
          <w:lang w:val="en-US"/>
        </w:rPr>
        <w:t xml:space="preserve">Also interesting is the comparison across specifications of the estimated values </w:t>
      </w:r>
      <w:r w:rsidR="008E5F70">
        <w:rPr>
          <w:lang w:val="en-US"/>
        </w:rPr>
        <w:t xml:space="preserve">of the coefficients </w:t>
      </w:r>
      <w:r>
        <w:rPr>
          <w:lang w:val="en-US"/>
        </w:rPr>
        <w:t xml:space="preserve">for the first two age categories. The introduction of establishment </w:t>
      </w:r>
      <w:r w:rsidR="00D17BF5">
        <w:rPr>
          <w:lang w:val="en-US"/>
        </w:rPr>
        <w:t>fixed effects</w:t>
      </w:r>
      <w:r>
        <w:rPr>
          <w:lang w:val="en-US"/>
        </w:rPr>
        <w:t xml:space="preserve"> has </w:t>
      </w:r>
      <w:r w:rsidR="008E5F70">
        <w:rPr>
          <w:lang w:val="en-US"/>
        </w:rPr>
        <w:t xml:space="preserve">similar impacts on the estimated coefficients </w:t>
      </w:r>
      <w:r>
        <w:rPr>
          <w:lang w:val="en-US"/>
        </w:rPr>
        <w:t>of th</w:t>
      </w:r>
      <w:r w:rsidR="00955BAA">
        <w:rPr>
          <w:lang w:val="en-US"/>
        </w:rPr>
        <w:t>ese</w:t>
      </w:r>
      <w:r>
        <w:rPr>
          <w:lang w:val="en-US"/>
        </w:rPr>
        <w:t xml:space="preserve"> two age categories. The effect </w:t>
      </w:r>
      <w:r w:rsidR="00867AD0">
        <w:rPr>
          <w:lang w:val="en-US"/>
        </w:rPr>
        <w:t>for the</w:t>
      </w:r>
      <w:r>
        <w:rPr>
          <w:lang w:val="en-US"/>
        </w:rPr>
        <w:t xml:space="preserve"> 14 to 17 </w:t>
      </w:r>
      <w:r w:rsidR="00867AD0">
        <w:rPr>
          <w:lang w:val="en-US"/>
        </w:rPr>
        <w:t>years of age group</w:t>
      </w:r>
      <w:r>
        <w:rPr>
          <w:lang w:val="en-US"/>
        </w:rPr>
        <w:t xml:space="preserve"> </w:t>
      </w:r>
      <w:r w:rsidR="008E5F70">
        <w:rPr>
          <w:lang w:val="en-US"/>
        </w:rPr>
        <w:t>(</w:t>
      </w:r>
      <w:r>
        <w:rPr>
          <w:lang w:val="en-US"/>
        </w:rPr>
        <w:t xml:space="preserve">relative to </w:t>
      </w:r>
      <w:r w:rsidR="008E5F70">
        <w:rPr>
          <w:lang w:val="en-US"/>
        </w:rPr>
        <w:t xml:space="preserve">the base category of </w:t>
      </w:r>
      <w:r>
        <w:rPr>
          <w:lang w:val="en-US"/>
        </w:rPr>
        <w:t>older than 30</w:t>
      </w:r>
      <w:r w:rsidR="008E5F70">
        <w:rPr>
          <w:lang w:val="en-US"/>
        </w:rPr>
        <w:t>)</w:t>
      </w:r>
      <w:r>
        <w:rPr>
          <w:lang w:val="en-US"/>
        </w:rPr>
        <w:t xml:space="preserve"> </w:t>
      </w:r>
      <w:r w:rsidR="00D17BF5">
        <w:rPr>
          <w:lang w:val="en-US"/>
        </w:rPr>
        <w:t>de</w:t>
      </w:r>
      <w:r>
        <w:rPr>
          <w:lang w:val="en-US"/>
        </w:rPr>
        <w:t xml:space="preserve">creases </w:t>
      </w:r>
      <w:r w:rsidR="00A1030D">
        <w:rPr>
          <w:lang w:val="en-US"/>
        </w:rPr>
        <w:t>from 0.135 to 0.068</w:t>
      </w:r>
      <w:r w:rsidR="00D17BF5">
        <w:rPr>
          <w:lang w:val="en-US"/>
        </w:rPr>
        <w:t xml:space="preserve"> </w:t>
      </w:r>
      <w:r>
        <w:rPr>
          <w:lang w:val="en-US"/>
        </w:rPr>
        <w:t xml:space="preserve">as we add establishment </w:t>
      </w:r>
      <w:r w:rsidR="00D17BF5">
        <w:rPr>
          <w:lang w:val="en-US"/>
        </w:rPr>
        <w:t>fixed effects.</w:t>
      </w:r>
      <w:r w:rsidR="00A1030D">
        <w:rPr>
          <w:lang w:val="en-US"/>
        </w:rPr>
        <w:t xml:space="preserve"> This 0.07 difference between the two specifications</w:t>
      </w:r>
      <w:r w:rsidR="00DC1FC0">
        <w:rPr>
          <w:lang w:val="en-US"/>
        </w:rPr>
        <w:t>, almost doubling the coefficient,</w:t>
      </w:r>
      <w:r w:rsidR="00A1030D">
        <w:rPr>
          <w:lang w:val="en-US"/>
        </w:rPr>
        <w:t xml:space="preserve"> </w:t>
      </w:r>
      <w:r w:rsidR="00F06DF7">
        <w:rPr>
          <w:lang w:val="en-US"/>
        </w:rPr>
        <w:t xml:space="preserve">represent around half the initial estimate and it </w:t>
      </w:r>
      <w:r w:rsidR="00A1030D">
        <w:rPr>
          <w:lang w:val="en-US"/>
        </w:rPr>
        <w:t xml:space="preserve">is also observed for </w:t>
      </w:r>
      <w:r w:rsidR="00F06DF7">
        <w:rPr>
          <w:lang w:val="en-US"/>
        </w:rPr>
        <w:t xml:space="preserve">the </w:t>
      </w:r>
      <w:r w:rsidR="00A1030D">
        <w:rPr>
          <w:lang w:val="en-US"/>
        </w:rPr>
        <w:t xml:space="preserve">18 to </w:t>
      </w:r>
      <w:r w:rsidR="00A1030D" w:rsidRPr="00826572">
        <w:rPr>
          <w:lang w:val="en-US"/>
        </w:rPr>
        <w:t>23</w:t>
      </w:r>
      <w:r w:rsidR="00F06DF7">
        <w:rPr>
          <w:lang w:val="en-US"/>
        </w:rPr>
        <w:t xml:space="preserve"> category, for which it represent</w:t>
      </w:r>
      <w:r w:rsidR="00DC1FC0">
        <w:rPr>
          <w:lang w:val="en-US"/>
        </w:rPr>
        <w:t>s</w:t>
      </w:r>
      <w:r w:rsidR="00F06DF7">
        <w:rPr>
          <w:lang w:val="en-US"/>
        </w:rPr>
        <w:t xml:space="preserve"> around 45% of the initial estimate</w:t>
      </w:r>
      <w:r>
        <w:rPr>
          <w:lang w:val="en-US"/>
        </w:rPr>
        <w:t>. Th</w:t>
      </w:r>
      <w:r w:rsidR="00A1030D">
        <w:rPr>
          <w:lang w:val="en-US"/>
        </w:rPr>
        <w:t>is common</w:t>
      </w:r>
      <w:r>
        <w:rPr>
          <w:lang w:val="en-US"/>
        </w:rPr>
        <w:t xml:space="preserve"> pattern suggest</w:t>
      </w:r>
      <w:r w:rsidR="00A1030D">
        <w:rPr>
          <w:lang w:val="en-US"/>
        </w:rPr>
        <w:t>s</w:t>
      </w:r>
      <w:r>
        <w:rPr>
          <w:lang w:val="en-US"/>
        </w:rPr>
        <w:t xml:space="preserve"> that </w:t>
      </w:r>
      <w:r w:rsidR="00A1030D">
        <w:rPr>
          <w:lang w:val="en-US"/>
        </w:rPr>
        <w:t>both</w:t>
      </w:r>
      <w:r>
        <w:rPr>
          <w:lang w:val="en-US"/>
        </w:rPr>
        <w:t xml:space="preserve"> “teen” </w:t>
      </w:r>
      <w:r w:rsidR="00A1030D">
        <w:rPr>
          <w:lang w:val="en-US"/>
        </w:rPr>
        <w:t xml:space="preserve">(14 to 17) and late young workers (18 to 23) </w:t>
      </w:r>
      <w:r>
        <w:rPr>
          <w:lang w:val="en-US"/>
        </w:rPr>
        <w:t xml:space="preserve">tend to be allocated in </w:t>
      </w:r>
      <w:r w:rsidR="00A1030D">
        <w:rPr>
          <w:lang w:val="en-US"/>
        </w:rPr>
        <w:t>high</w:t>
      </w:r>
      <w:r>
        <w:rPr>
          <w:lang w:val="en-US"/>
        </w:rPr>
        <w:t xml:space="preserve"> turnover establishments</w:t>
      </w:r>
      <w:r w:rsidR="00A1030D">
        <w:rPr>
          <w:lang w:val="en-US"/>
        </w:rPr>
        <w:t>, relative to older workers</w:t>
      </w:r>
      <w:r>
        <w:rPr>
          <w:lang w:val="en-US"/>
        </w:rPr>
        <w:t>.</w:t>
      </w:r>
    </w:p>
    <w:p w:rsidR="00DC1FC0" w:rsidRDefault="00D17BF5" w:rsidP="00435423">
      <w:pPr>
        <w:spacing w:line="360" w:lineRule="auto"/>
        <w:rPr>
          <w:lang w:val="en-US"/>
        </w:rPr>
      </w:pPr>
      <w:r w:rsidRPr="00D17BF5">
        <w:rPr>
          <w:lang w:val="en-US"/>
        </w:rPr>
        <w:t xml:space="preserve">The remaining </w:t>
      </w:r>
      <w:r w:rsidR="000F1AEB">
        <w:rPr>
          <w:lang w:val="en-US"/>
        </w:rPr>
        <w:t>rows in Table 3</w:t>
      </w:r>
      <w:r w:rsidRPr="00D17BF5">
        <w:rPr>
          <w:lang w:val="en-US"/>
        </w:rPr>
        <w:t xml:space="preserve"> report the estimated </w:t>
      </w:r>
      <w:r w:rsidR="000F1AEB">
        <w:rPr>
          <w:lang w:val="en-US"/>
        </w:rPr>
        <w:t xml:space="preserve">coefficients of </w:t>
      </w:r>
      <w:r w:rsidRPr="00D17BF5">
        <w:rPr>
          <w:lang w:val="en-US"/>
        </w:rPr>
        <w:t>the control variables in each one of the two specifications.</w:t>
      </w:r>
      <w:r w:rsidR="00435423">
        <w:rPr>
          <w:lang w:val="en-US"/>
        </w:rPr>
        <w:t xml:space="preserve"> </w:t>
      </w:r>
      <w:r w:rsidR="00473188">
        <w:rPr>
          <w:lang w:val="en-US"/>
        </w:rPr>
        <w:t>An analysis of the estimated values for the</w:t>
      </w:r>
      <w:r w:rsidR="000F1AEB">
        <w:rPr>
          <w:lang w:val="en-US"/>
        </w:rPr>
        <w:t>se</w:t>
      </w:r>
      <w:r w:rsidR="00473188">
        <w:rPr>
          <w:lang w:val="en-US"/>
        </w:rPr>
        <w:t xml:space="preserve"> coefficients </w:t>
      </w:r>
      <w:r w:rsidR="00473188" w:rsidRPr="00F808A8">
        <w:rPr>
          <w:lang w:val="en-US"/>
        </w:rPr>
        <w:t>can be grouped in</w:t>
      </w:r>
      <w:r w:rsidR="00955BAA">
        <w:rPr>
          <w:lang w:val="en-US"/>
        </w:rPr>
        <w:t>to</w:t>
      </w:r>
      <w:r w:rsidR="00473188" w:rsidRPr="00F808A8">
        <w:rPr>
          <w:lang w:val="en-US"/>
        </w:rPr>
        <w:t xml:space="preserve"> three categories</w:t>
      </w:r>
      <w:r w:rsidR="00435423">
        <w:rPr>
          <w:lang w:val="en-US"/>
        </w:rPr>
        <w:t xml:space="preserve"> according to how the effect changes across model specifications</w:t>
      </w:r>
      <w:r w:rsidR="00473188" w:rsidRPr="00F808A8">
        <w:rPr>
          <w:lang w:val="en-US"/>
        </w:rPr>
        <w:t xml:space="preserve">. </w:t>
      </w:r>
      <w:r w:rsidR="000F1AEB">
        <w:rPr>
          <w:lang w:val="en-US"/>
        </w:rPr>
        <w:t>Firstly, t</w:t>
      </w:r>
      <w:r w:rsidR="00435423">
        <w:rPr>
          <w:lang w:val="en-US"/>
        </w:rPr>
        <w:t xml:space="preserve">he effect of education is also reduced once we add establishment fixed effects. </w:t>
      </w:r>
      <w:r w:rsidR="000F1AEB">
        <w:rPr>
          <w:lang w:val="en-US"/>
        </w:rPr>
        <w:t xml:space="preserve">In fact, </w:t>
      </w:r>
      <w:r w:rsidR="00435423">
        <w:rPr>
          <w:lang w:val="en-US"/>
        </w:rPr>
        <w:t xml:space="preserve">the magnitude of this reduction is even higher than the one registered for age. </w:t>
      </w:r>
      <w:r w:rsidR="00C44CB8">
        <w:rPr>
          <w:lang w:val="en-US"/>
        </w:rPr>
        <w:t xml:space="preserve">We should point out however that, despite this reduction, the magnitude of the effect of education </w:t>
      </w:r>
      <w:r w:rsidR="00DC1FC0">
        <w:rPr>
          <w:lang w:val="en-US"/>
        </w:rPr>
        <w:t>is still very</w:t>
      </w:r>
      <w:r w:rsidR="00C44CB8">
        <w:rPr>
          <w:lang w:val="en-US"/>
        </w:rPr>
        <w:t xml:space="preserve"> high. </w:t>
      </w:r>
      <w:r w:rsidR="00E6076C">
        <w:rPr>
          <w:lang w:val="en-US"/>
        </w:rPr>
        <w:t xml:space="preserve">Moreover, as it can be seen, the lower the </w:t>
      </w:r>
      <w:proofErr w:type="gramStart"/>
      <w:r w:rsidR="00E6076C">
        <w:rPr>
          <w:lang w:val="en-US"/>
        </w:rPr>
        <w:t>education level</w:t>
      </w:r>
      <w:proofErr w:type="gramEnd"/>
      <w:r w:rsidR="00E6076C">
        <w:rPr>
          <w:lang w:val="en-US"/>
        </w:rPr>
        <w:t xml:space="preserve"> of the worker, the higher the impact on turnover. </w:t>
      </w:r>
      <w:r w:rsidR="000F1AEB">
        <w:rPr>
          <w:lang w:val="en-US"/>
        </w:rPr>
        <w:t xml:space="preserve">Secondly, </w:t>
      </w:r>
      <w:r w:rsidR="000F1AEB">
        <w:rPr>
          <w:lang w:val="en-US"/>
        </w:rPr>
        <w:lastRenderedPageBreak/>
        <w:t>t</w:t>
      </w:r>
      <w:r w:rsidR="00435423">
        <w:rPr>
          <w:lang w:val="en-US"/>
        </w:rPr>
        <w:t>he effect of gender is stable across model specifications. Finally</w:t>
      </w:r>
      <w:r w:rsidR="000F1AEB">
        <w:rPr>
          <w:lang w:val="en-US"/>
        </w:rPr>
        <w:t>,</w:t>
      </w:r>
      <w:r w:rsidR="00435423">
        <w:rPr>
          <w:lang w:val="en-US"/>
        </w:rPr>
        <w:t xml:space="preserve"> the effect of working under a part-time contract not only increases once we add establishment fixed effect</w:t>
      </w:r>
      <w:r w:rsidR="00630FF7">
        <w:rPr>
          <w:lang w:val="en-US"/>
        </w:rPr>
        <w:t>s</w:t>
      </w:r>
      <w:r w:rsidR="00435423">
        <w:rPr>
          <w:lang w:val="en-US"/>
        </w:rPr>
        <w:t>, as it flips sign</w:t>
      </w:r>
      <w:r w:rsidR="00DC1FC0">
        <w:rPr>
          <w:lang w:val="en-US"/>
        </w:rPr>
        <w:t>, becoming positive</w:t>
      </w:r>
      <w:r w:rsidR="00435423">
        <w:rPr>
          <w:lang w:val="en-US"/>
        </w:rPr>
        <w:t>.</w:t>
      </w:r>
    </w:p>
    <w:p w:rsidR="00F64781" w:rsidRDefault="00F64781" w:rsidP="00435423">
      <w:pPr>
        <w:spacing w:line="360" w:lineRule="auto"/>
        <w:rPr>
          <w:lang w:val="en-US"/>
        </w:rPr>
      </w:pPr>
    </w:p>
    <w:p w:rsidR="007702B9" w:rsidRDefault="00435423" w:rsidP="00435423">
      <w:pPr>
        <w:spacing w:line="360" w:lineRule="auto"/>
        <w:rPr>
          <w:b/>
          <w:lang w:val="en-US"/>
        </w:rPr>
      </w:pPr>
      <w:r>
        <w:rPr>
          <w:lang w:val="en-US"/>
        </w:rPr>
        <w:t xml:space="preserve"> </w:t>
      </w:r>
      <w:r w:rsidR="00DC1F7D">
        <w:rPr>
          <w:b/>
          <w:lang w:val="en-US"/>
        </w:rPr>
        <w:t>7</w:t>
      </w:r>
      <w:r w:rsidR="007702B9" w:rsidRPr="007702B9">
        <w:rPr>
          <w:b/>
          <w:lang w:val="en-US"/>
        </w:rPr>
        <w:t>. Conclu</w:t>
      </w:r>
      <w:r w:rsidR="00DC1FC0">
        <w:rPr>
          <w:b/>
          <w:lang w:val="en-US"/>
        </w:rPr>
        <w:t>ding comments</w:t>
      </w:r>
    </w:p>
    <w:p w:rsidR="00007633" w:rsidRDefault="00007633" w:rsidP="00435423">
      <w:pPr>
        <w:spacing w:line="360" w:lineRule="auto"/>
        <w:rPr>
          <w:lang w:val="en-US"/>
        </w:rPr>
      </w:pPr>
      <w:r>
        <w:rPr>
          <w:lang w:val="en-US"/>
        </w:rPr>
        <w:t xml:space="preserve">Using a rich employer-employee dataset we were able to draw an overall picture of how youths have performed in the formal labor </w:t>
      </w:r>
      <w:r w:rsidR="000036CE">
        <w:rPr>
          <w:lang w:val="en-US"/>
        </w:rPr>
        <w:t xml:space="preserve">market </w:t>
      </w:r>
      <w:r>
        <w:rPr>
          <w:lang w:val="en-US"/>
        </w:rPr>
        <w:t>in Brazil</w:t>
      </w:r>
      <w:r w:rsidR="005B6B14">
        <w:rPr>
          <w:lang w:val="en-US"/>
        </w:rPr>
        <w:t xml:space="preserve"> in </w:t>
      </w:r>
      <w:r w:rsidR="00920BC0">
        <w:rPr>
          <w:lang w:val="en-US"/>
        </w:rPr>
        <w:t>a recent period of</w:t>
      </w:r>
      <w:r w:rsidR="005B6B14">
        <w:rPr>
          <w:lang w:val="en-US"/>
        </w:rPr>
        <w:t xml:space="preserve"> 15 years</w:t>
      </w:r>
      <w:r>
        <w:rPr>
          <w:lang w:val="en-US"/>
        </w:rPr>
        <w:t xml:space="preserve">. </w:t>
      </w:r>
      <w:r w:rsidR="000036CE">
        <w:rPr>
          <w:lang w:val="en-US"/>
        </w:rPr>
        <w:t>B</w:t>
      </w:r>
      <w:r>
        <w:rPr>
          <w:lang w:val="en-US"/>
        </w:rPr>
        <w:t xml:space="preserve">ased on the flow approach, </w:t>
      </w:r>
      <w:r w:rsidR="000036CE">
        <w:rPr>
          <w:lang w:val="en-US"/>
        </w:rPr>
        <w:t xml:space="preserve">we show that </w:t>
      </w:r>
      <w:r w:rsidR="00B65465">
        <w:rPr>
          <w:lang w:val="en-US"/>
        </w:rPr>
        <w:t xml:space="preserve">both </w:t>
      </w:r>
      <w:r w:rsidR="000036CE">
        <w:rPr>
          <w:lang w:val="en-US"/>
        </w:rPr>
        <w:t>the hiring</w:t>
      </w:r>
      <w:r w:rsidR="00B65465">
        <w:rPr>
          <w:lang w:val="en-US"/>
        </w:rPr>
        <w:t xml:space="preserve"> and</w:t>
      </w:r>
      <w:r w:rsidR="000036CE">
        <w:rPr>
          <w:lang w:val="en-US"/>
        </w:rPr>
        <w:t xml:space="preserve"> the separation rate for this group </w:t>
      </w:r>
      <w:r w:rsidR="00B65465">
        <w:rPr>
          <w:lang w:val="en-US"/>
        </w:rPr>
        <w:t>are quite high</w:t>
      </w:r>
      <w:r w:rsidR="00D86AC4">
        <w:rPr>
          <w:lang w:val="en-US"/>
        </w:rPr>
        <w:t xml:space="preserve"> both in absolute and relative terms. </w:t>
      </w:r>
      <w:r w:rsidR="00B65465">
        <w:rPr>
          <w:lang w:val="en-US"/>
        </w:rPr>
        <w:t xml:space="preserve">The </w:t>
      </w:r>
      <w:r w:rsidR="00A8552B">
        <w:rPr>
          <w:lang w:val="en-US"/>
        </w:rPr>
        <w:t xml:space="preserve">average </w:t>
      </w:r>
      <w:r w:rsidR="005B6B14">
        <w:rPr>
          <w:lang w:val="en-US"/>
        </w:rPr>
        <w:t xml:space="preserve">figures for the hiring and separation rates </w:t>
      </w:r>
      <w:r w:rsidR="00D86AC4">
        <w:rPr>
          <w:lang w:val="en-US"/>
        </w:rPr>
        <w:t xml:space="preserve">for youths </w:t>
      </w:r>
      <w:r w:rsidR="005B6B14">
        <w:rPr>
          <w:lang w:val="en-US"/>
        </w:rPr>
        <w:t xml:space="preserve">are </w:t>
      </w:r>
      <w:r w:rsidR="00A8552B">
        <w:rPr>
          <w:lang w:val="en-US"/>
        </w:rPr>
        <w:t xml:space="preserve">over </w:t>
      </w:r>
      <w:r w:rsidR="005B6B14">
        <w:rPr>
          <w:lang w:val="en-US"/>
        </w:rPr>
        <w:t xml:space="preserve">90% </w:t>
      </w:r>
      <w:r w:rsidR="00A8552B">
        <w:rPr>
          <w:lang w:val="en-US"/>
        </w:rPr>
        <w:t xml:space="preserve">and 70%, respectively, leading to an impressive </w:t>
      </w:r>
      <w:r w:rsidR="00B65465">
        <w:rPr>
          <w:lang w:val="en-US"/>
        </w:rPr>
        <w:t xml:space="preserve">turnover rate </w:t>
      </w:r>
      <w:r w:rsidR="00A8552B">
        <w:rPr>
          <w:lang w:val="en-US"/>
        </w:rPr>
        <w:t xml:space="preserve">of more than </w:t>
      </w:r>
      <w:r w:rsidR="005B6B14">
        <w:rPr>
          <w:lang w:val="en-US"/>
        </w:rPr>
        <w:t xml:space="preserve">160%, </w:t>
      </w:r>
      <w:r w:rsidR="00A8552B">
        <w:rPr>
          <w:lang w:val="en-US"/>
        </w:rPr>
        <w:t xml:space="preserve">twice </w:t>
      </w:r>
      <w:r w:rsidR="005B6B14">
        <w:rPr>
          <w:lang w:val="en-US"/>
        </w:rPr>
        <w:t xml:space="preserve">the value observed </w:t>
      </w:r>
      <w:r w:rsidR="00A8552B">
        <w:rPr>
          <w:lang w:val="en-US"/>
        </w:rPr>
        <w:t xml:space="preserve">for </w:t>
      </w:r>
      <w:r w:rsidR="005B6B14">
        <w:rPr>
          <w:lang w:val="en-US"/>
        </w:rPr>
        <w:t>adu</w:t>
      </w:r>
      <w:r w:rsidR="00A8552B">
        <w:rPr>
          <w:lang w:val="en-US"/>
        </w:rPr>
        <w:t>lts.</w:t>
      </w:r>
      <w:r w:rsidR="00D86AC4">
        <w:rPr>
          <w:lang w:val="en-US"/>
        </w:rPr>
        <w:t xml:space="preserve"> </w:t>
      </w:r>
      <w:r w:rsidR="00910C3F">
        <w:rPr>
          <w:lang w:val="en-US"/>
        </w:rPr>
        <w:t>Though it may induce better matching with firms, s</w:t>
      </w:r>
      <w:r w:rsidR="00D86AC4">
        <w:rPr>
          <w:lang w:val="en-US"/>
        </w:rPr>
        <w:t xml:space="preserve">uch a high level of turnover tends to hamper the accumulation of </w:t>
      </w:r>
      <w:r w:rsidR="00910C3F">
        <w:rPr>
          <w:lang w:val="en-US"/>
        </w:rPr>
        <w:t xml:space="preserve">firm-specific experience, which can be an important form of human capital. A lower level of productivity can result, producing negative impacts at </w:t>
      </w:r>
      <w:r w:rsidR="009054F1">
        <w:rPr>
          <w:lang w:val="en-US"/>
        </w:rPr>
        <w:t xml:space="preserve">both </w:t>
      </w:r>
      <w:r w:rsidR="00910C3F">
        <w:rPr>
          <w:lang w:val="en-US"/>
        </w:rPr>
        <w:t xml:space="preserve">the individual and the aggregate levels. </w:t>
      </w:r>
    </w:p>
    <w:p w:rsidR="009054F1" w:rsidRDefault="00221CD1" w:rsidP="004E6334">
      <w:pPr>
        <w:spacing w:line="360" w:lineRule="auto"/>
        <w:rPr>
          <w:lang w:val="en-US"/>
        </w:rPr>
      </w:pPr>
      <w:r>
        <w:rPr>
          <w:lang w:val="en-US"/>
        </w:rPr>
        <w:t xml:space="preserve">We look deeper at </w:t>
      </w:r>
      <w:r w:rsidR="009054F1">
        <w:rPr>
          <w:lang w:val="en-US"/>
        </w:rPr>
        <w:t>each component</w:t>
      </w:r>
      <w:r>
        <w:rPr>
          <w:lang w:val="en-US"/>
        </w:rPr>
        <w:t xml:space="preserve"> of the turnover rate. </w:t>
      </w:r>
      <w:r w:rsidR="009054F1">
        <w:rPr>
          <w:lang w:val="en-US"/>
        </w:rPr>
        <w:t>Potentially, a</w:t>
      </w:r>
      <w:r w:rsidR="00A8552B">
        <w:rPr>
          <w:lang w:val="en-US"/>
        </w:rPr>
        <w:t xml:space="preserve">n elevated hiring rate </w:t>
      </w:r>
      <w:r w:rsidR="00C20E7E">
        <w:rPr>
          <w:lang w:val="en-US"/>
        </w:rPr>
        <w:t>has</w:t>
      </w:r>
      <w:r>
        <w:rPr>
          <w:lang w:val="en-US"/>
        </w:rPr>
        <w:t xml:space="preserve"> </w:t>
      </w:r>
      <w:r w:rsidR="009054F1">
        <w:rPr>
          <w:lang w:val="en-US"/>
        </w:rPr>
        <w:t xml:space="preserve">both a </w:t>
      </w:r>
      <w:r w:rsidR="0011513F">
        <w:rPr>
          <w:lang w:val="en-US"/>
        </w:rPr>
        <w:t xml:space="preserve">positive and </w:t>
      </w:r>
      <w:r w:rsidR="009054F1">
        <w:rPr>
          <w:lang w:val="en-US"/>
        </w:rPr>
        <w:t xml:space="preserve">a </w:t>
      </w:r>
      <w:r w:rsidR="0011513F">
        <w:rPr>
          <w:lang w:val="en-US"/>
        </w:rPr>
        <w:t xml:space="preserve">negative side. On the one hand, it </w:t>
      </w:r>
      <w:r w:rsidR="00910C3F">
        <w:rPr>
          <w:lang w:val="en-US"/>
        </w:rPr>
        <w:t xml:space="preserve">makes it easier </w:t>
      </w:r>
      <w:r w:rsidR="0011513F">
        <w:rPr>
          <w:lang w:val="en-US"/>
        </w:rPr>
        <w:t xml:space="preserve">for youths to </w:t>
      </w:r>
      <w:r w:rsidR="004E6334">
        <w:rPr>
          <w:lang w:val="en-US"/>
        </w:rPr>
        <w:t xml:space="preserve">get </w:t>
      </w:r>
      <w:r w:rsidR="0011513F">
        <w:rPr>
          <w:lang w:val="en-US"/>
        </w:rPr>
        <w:t>a job</w:t>
      </w:r>
      <w:r w:rsidR="00920C0E">
        <w:rPr>
          <w:lang w:val="en-US"/>
        </w:rPr>
        <w:t xml:space="preserve"> but</w:t>
      </w:r>
      <w:r w:rsidR="00C20E7E">
        <w:rPr>
          <w:lang w:val="en-US"/>
        </w:rPr>
        <w:t>,</w:t>
      </w:r>
      <w:r w:rsidR="00920C0E">
        <w:rPr>
          <w:lang w:val="en-US"/>
        </w:rPr>
        <w:t xml:space="preserve"> on the other</w:t>
      </w:r>
      <w:r w:rsidR="00C20E7E">
        <w:rPr>
          <w:lang w:val="en-US"/>
        </w:rPr>
        <w:t>,</w:t>
      </w:r>
      <w:r w:rsidR="00920C0E">
        <w:rPr>
          <w:lang w:val="en-US"/>
        </w:rPr>
        <w:t xml:space="preserve"> it generates less incentive </w:t>
      </w:r>
      <w:r w:rsidR="004E6334">
        <w:rPr>
          <w:lang w:val="en-US"/>
        </w:rPr>
        <w:t xml:space="preserve">to keep </w:t>
      </w:r>
      <w:r w:rsidR="00920C0E">
        <w:rPr>
          <w:lang w:val="en-US"/>
        </w:rPr>
        <w:t xml:space="preserve">them. This last </w:t>
      </w:r>
      <w:r w:rsidR="004E6334">
        <w:rPr>
          <w:lang w:val="en-US"/>
        </w:rPr>
        <w:t>force</w:t>
      </w:r>
      <w:r w:rsidR="00920C0E">
        <w:rPr>
          <w:lang w:val="en-US"/>
        </w:rPr>
        <w:t xml:space="preserve"> induces job separations and therefore diminishes the duration of employment. </w:t>
      </w:r>
      <w:r w:rsidR="004E6334">
        <w:rPr>
          <w:lang w:val="en-US"/>
        </w:rPr>
        <w:t>In addition, if youth</w:t>
      </w:r>
      <w:r w:rsidR="00DC1FC0">
        <w:rPr>
          <w:lang w:val="en-US"/>
        </w:rPr>
        <w:t xml:space="preserve"> </w:t>
      </w:r>
      <w:proofErr w:type="spellStart"/>
      <w:r w:rsidR="00DC1FC0">
        <w:rPr>
          <w:lang w:val="en-US"/>
        </w:rPr>
        <w:t>hirings</w:t>
      </w:r>
      <w:proofErr w:type="spellEnd"/>
      <w:r w:rsidR="004E6334">
        <w:rPr>
          <w:lang w:val="en-US"/>
        </w:rPr>
        <w:t xml:space="preserve"> are concentrated in unstable jobs, even higher levels of separations are expected. </w:t>
      </w:r>
      <w:r w:rsidR="00DC1FC0">
        <w:rPr>
          <w:lang w:val="en-US"/>
        </w:rPr>
        <w:t>Our initial</w:t>
      </w:r>
      <w:r w:rsidR="009054F1">
        <w:rPr>
          <w:lang w:val="en-US"/>
        </w:rPr>
        <w:t xml:space="preserve"> </w:t>
      </w:r>
      <w:r w:rsidR="00DC1FC0">
        <w:rPr>
          <w:lang w:val="en-US"/>
        </w:rPr>
        <w:t>empirical</w:t>
      </w:r>
      <w:r w:rsidR="00C20E7E">
        <w:rPr>
          <w:lang w:val="en-US"/>
        </w:rPr>
        <w:t xml:space="preserve"> </w:t>
      </w:r>
      <w:r w:rsidR="009054F1">
        <w:rPr>
          <w:lang w:val="en-US"/>
        </w:rPr>
        <w:t>investigat</w:t>
      </w:r>
      <w:r w:rsidR="00DC1FC0">
        <w:rPr>
          <w:lang w:val="en-US"/>
        </w:rPr>
        <w:t>ion of</w:t>
      </w:r>
      <w:r w:rsidR="009054F1">
        <w:rPr>
          <w:lang w:val="en-US"/>
        </w:rPr>
        <w:t xml:space="preserve"> the connection from </w:t>
      </w:r>
      <w:proofErr w:type="spellStart"/>
      <w:r w:rsidR="009054F1">
        <w:rPr>
          <w:lang w:val="en-US"/>
        </w:rPr>
        <w:t>hirings</w:t>
      </w:r>
      <w:proofErr w:type="spellEnd"/>
      <w:r w:rsidR="009054F1">
        <w:rPr>
          <w:lang w:val="en-US"/>
        </w:rPr>
        <w:t xml:space="preserve"> to separations </w:t>
      </w:r>
      <w:r w:rsidR="00DC1FC0">
        <w:rPr>
          <w:lang w:val="en-US"/>
        </w:rPr>
        <w:t>was able</w:t>
      </w:r>
      <w:r w:rsidR="009054F1">
        <w:rPr>
          <w:lang w:val="en-US"/>
        </w:rPr>
        <w:t xml:space="preserve"> to find some evidence that youths do not seem to be particularly allocated </w:t>
      </w:r>
      <w:r w:rsidR="001F0B2B">
        <w:rPr>
          <w:lang w:val="en-US"/>
        </w:rPr>
        <w:t>to more unstable jobs</w:t>
      </w:r>
      <w:r w:rsidR="00DC1FC0">
        <w:rPr>
          <w:lang w:val="en-US"/>
        </w:rPr>
        <w:t xml:space="preserve"> (temporary contracts or cooperative jobs)</w:t>
      </w:r>
      <w:r w:rsidR="001F0B2B">
        <w:rPr>
          <w:lang w:val="en-US"/>
        </w:rPr>
        <w:t xml:space="preserve">. </w:t>
      </w:r>
    </w:p>
    <w:p w:rsidR="00B14ABC" w:rsidRDefault="00DC1FC0" w:rsidP="00066EBC">
      <w:pPr>
        <w:spacing w:line="360" w:lineRule="auto"/>
        <w:rPr>
          <w:lang w:val="en-US"/>
        </w:rPr>
      </w:pPr>
      <w:r>
        <w:rPr>
          <w:lang w:val="en-US"/>
        </w:rPr>
        <w:t>L</w:t>
      </w:r>
      <w:r w:rsidR="00AD22E6">
        <w:rPr>
          <w:lang w:val="en-US"/>
        </w:rPr>
        <w:t xml:space="preserve">ooking at job </w:t>
      </w:r>
      <w:r w:rsidR="00B14ABC">
        <w:rPr>
          <w:lang w:val="en-US"/>
        </w:rPr>
        <w:t>separations</w:t>
      </w:r>
      <w:r>
        <w:rPr>
          <w:lang w:val="en-US"/>
        </w:rPr>
        <w:t xml:space="preserve"> patterns</w:t>
      </w:r>
      <w:r w:rsidR="00AD22E6">
        <w:rPr>
          <w:lang w:val="en-US"/>
        </w:rPr>
        <w:t>,</w:t>
      </w:r>
      <w:r w:rsidR="00B14ABC">
        <w:rPr>
          <w:lang w:val="en-US"/>
        </w:rPr>
        <w:t xml:space="preserve"> we found that quits are more prevalent among</w:t>
      </w:r>
      <w:r w:rsidR="00AD22E6">
        <w:rPr>
          <w:lang w:val="en-US"/>
        </w:rPr>
        <w:t xml:space="preserve"> you</w:t>
      </w:r>
      <w:r>
        <w:rPr>
          <w:lang w:val="en-US"/>
        </w:rPr>
        <w:t>ng workers</w:t>
      </w:r>
      <w:r w:rsidR="00AD22E6">
        <w:rPr>
          <w:lang w:val="en-US"/>
        </w:rPr>
        <w:t xml:space="preserve"> than among adults</w:t>
      </w:r>
      <w:r w:rsidR="00B82E09">
        <w:rPr>
          <w:lang w:val="en-US"/>
        </w:rPr>
        <w:t xml:space="preserve">. </w:t>
      </w:r>
      <w:r w:rsidR="00C20E7E">
        <w:rPr>
          <w:lang w:val="en-US"/>
        </w:rPr>
        <w:t xml:space="preserve">As mentioned, this can be associated with </w:t>
      </w:r>
      <w:r w:rsidR="00752B87">
        <w:rPr>
          <w:lang w:val="en-US"/>
        </w:rPr>
        <w:t xml:space="preserve">the </w:t>
      </w:r>
      <w:r>
        <w:rPr>
          <w:lang w:val="en-US"/>
        </w:rPr>
        <w:t>high hiring rates</w:t>
      </w:r>
      <w:r w:rsidR="00C20E7E">
        <w:rPr>
          <w:lang w:val="en-US"/>
        </w:rPr>
        <w:t xml:space="preserve"> </w:t>
      </w:r>
      <w:r>
        <w:rPr>
          <w:lang w:val="en-US"/>
        </w:rPr>
        <w:t>of</w:t>
      </w:r>
      <w:r w:rsidR="00C20E7E">
        <w:rPr>
          <w:lang w:val="en-US"/>
        </w:rPr>
        <w:t xml:space="preserve"> </w:t>
      </w:r>
      <w:r w:rsidR="00752B87">
        <w:rPr>
          <w:lang w:val="en-US"/>
        </w:rPr>
        <w:t xml:space="preserve">the former </w:t>
      </w:r>
      <w:r w:rsidR="00C20E7E">
        <w:rPr>
          <w:lang w:val="en-US"/>
        </w:rPr>
        <w:t xml:space="preserve">group. </w:t>
      </w:r>
      <w:r w:rsidR="00752B87">
        <w:rPr>
          <w:lang w:val="en-US"/>
        </w:rPr>
        <w:t xml:space="preserve">But it can also be associated with </w:t>
      </w:r>
      <w:r w:rsidR="00B82E09">
        <w:rPr>
          <w:lang w:val="en-US"/>
        </w:rPr>
        <w:t>the supply behavior of youths</w:t>
      </w:r>
      <w:r w:rsidR="00752B87">
        <w:rPr>
          <w:lang w:val="en-US"/>
        </w:rPr>
        <w:t>, which</w:t>
      </w:r>
      <w:r w:rsidR="00B82E09">
        <w:rPr>
          <w:lang w:val="en-US"/>
        </w:rPr>
        <w:t xml:space="preserve"> typically involves </w:t>
      </w:r>
      <w:r w:rsidR="00752B87">
        <w:rPr>
          <w:lang w:val="en-US"/>
        </w:rPr>
        <w:t xml:space="preserve">more </w:t>
      </w:r>
      <w:r w:rsidR="00AD22E6">
        <w:rPr>
          <w:lang w:val="en-US"/>
        </w:rPr>
        <w:t xml:space="preserve">“shopping” </w:t>
      </w:r>
      <w:r w:rsidR="00B82E09">
        <w:rPr>
          <w:lang w:val="en-US"/>
        </w:rPr>
        <w:t xml:space="preserve">across jobs in the labor market. </w:t>
      </w:r>
      <w:r w:rsidR="00752B87">
        <w:rPr>
          <w:lang w:val="en-US"/>
        </w:rPr>
        <w:t>W</w:t>
      </w:r>
      <w:r w:rsidR="00E536D5">
        <w:rPr>
          <w:lang w:val="en-US"/>
        </w:rPr>
        <w:t xml:space="preserve">e </w:t>
      </w:r>
      <w:r w:rsidR="00752B87">
        <w:rPr>
          <w:lang w:val="en-US"/>
        </w:rPr>
        <w:t xml:space="preserve">also </w:t>
      </w:r>
      <w:r w:rsidR="00E536D5">
        <w:rPr>
          <w:lang w:val="en-US"/>
        </w:rPr>
        <w:t xml:space="preserve">found evidence that separations due </w:t>
      </w:r>
      <w:r w:rsidR="00752B87">
        <w:rPr>
          <w:lang w:val="en-US"/>
        </w:rPr>
        <w:t xml:space="preserve">to </w:t>
      </w:r>
      <w:r w:rsidR="00E536D5">
        <w:rPr>
          <w:lang w:val="en-US"/>
        </w:rPr>
        <w:t>the expiration of temporary contracts are relatively more important for youths than for adults.</w:t>
      </w:r>
      <w:r w:rsidR="00B20DAD">
        <w:rPr>
          <w:lang w:val="en-US"/>
        </w:rPr>
        <w:t xml:space="preserve"> The results also show </w:t>
      </w:r>
      <w:r w:rsidR="006848EB">
        <w:rPr>
          <w:lang w:val="en-US"/>
        </w:rPr>
        <w:t xml:space="preserve">that </w:t>
      </w:r>
      <w:r w:rsidR="00B20DAD">
        <w:rPr>
          <w:lang w:val="en-US"/>
        </w:rPr>
        <w:t>this cause of separations increased</w:t>
      </w:r>
      <w:r w:rsidR="00752B87">
        <w:rPr>
          <w:lang w:val="en-US"/>
        </w:rPr>
        <w:t xml:space="preserve"> </w:t>
      </w:r>
      <w:r w:rsidR="00B20DAD">
        <w:rPr>
          <w:lang w:val="en-US"/>
        </w:rPr>
        <w:t xml:space="preserve">for both groups during the 2000’s, a phenomenon that may have to </w:t>
      </w:r>
      <w:r w:rsidR="00752B87">
        <w:rPr>
          <w:lang w:val="en-US"/>
        </w:rPr>
        <w:t xml:space="preserve">do with </w:t>
      </w:r>
      <w:r w:rsidR="00B20DAD">
        <w:rPr>
          <w:lang w:val="en-US"/>
        </w:rPr>
        <w:t xml:space="preserve">the </w:t>
      </w:r>
      <w:r w:rsidR="006848EB">
        <w:rPr>
          <w:lang w:val="en-US"/>
        </w:rPr>
        <w:t xml:space="preserve">introduction of </w:t>
      </w:r>
      <w:r w:rsidR="00B20DAD">
        <w:rPr>
          <w:lang w:val="en-US"/>
        </w:rPr>
        <w:t xml:space="preserve">incentives </w:t>
      </w:r>
      <w:r w:rsidR="006848EB">
        <w:rPr>
          <w:lang w:val="en-US"/>
        </w:rPr>
        <w:t>to use more flexible forms of labor contracts. Finally, we</w:t>
      </w:r>
      <w:r w:rsidR="00AD22E6">
        <w:rPr>
          <w:lang w:val="en-US"/>
        </w:rPr>
        <w:t xml:space="preserve"> also found that a considerable fraction of separations do not end </w:t>
      </w:r>
      <w:r w:rsidR="00AD22E6">
        <w:rPr>
          <w:lang w:val="en-US"/>
        </w:rPr>
        <w:lastRenderedPageBreak/>
        <w:t xml:space="preserve">up in job destruction but </w:t>
      </w:r>
      <w:r>
        <w:rPr>
          <w:lang w:val="en-US"/>
        </w:rPr>
        <w:t xml:space="preserve">rather </w:t>
      </w:r>
      <w:r w:rsidR="00AD22E6">
        <w:rPr>
          <w:lang w:val="en-US"/>
        </w:rPr>
        <w:t xml:space="preserve">in the </w:t>
      </w:r>
      <w:r>
        <w:rPr>
          <w:lang w:val="en-US"/>
        </w:rPr>
        <w:t xml:space="preserve">replacement </w:t>
      </w:r>
      <w:r w:rsidR="00AD22E6">
        <w:rPr>
          <w:lang w:val="en-US"/>
        </w:rPr>
        <w:t xml:space="preserve">of </w:t>
      </w:r>
      <w:r w:rsidR="006848EB">
        <w:rPr>
          <w:lang w:val="en-US"/>
        </w:rPr>
        <w:t xml:space="preserve">one </w:t>
      </w:r>
      <w:r w:rsidR="00AD22E6">
        <w:rPr>
          <w:lang w:val="en-US"/>
        </w:rPr>
        <w:t>worker for another.</w:t>
      </w:r>
      <w:r w:rsidR="006848EB">
        <w:rPr>
          <w:lang w:val="en-US"/>
        </w:rPr>
        <w:t xml:space="preserve"> In particular, the results evince that the more prevalent form of substitution is not across workers of different age groups but</w:t>
      </w:r>
      <w:r>
        <w:rPr>
          <w:lang w:val="en-US"/>
        </w:rPr>
        <w:t xml:space="preserve"> between</w:t>
      </w:r>
      <w:r w:rsidR="006848EB">
        <w:rPr>
          <w:lang w:val="en-US"/>
        </w:rPr>
        <w:t xml:space="preserve"> workers of the same group.</w:t>
      </w:r>
    </w:p>
    <w:p w:rsidR="006848EB" w:rsidRDefault="006848EB" w:rsidP="00066EBC">
      <w:pPr>
        <w:spacing w:line="360" w:lineRule="auto"/>
        <w:rPr>
          <w:lang w:val="en-US"/>
        </w:rPr>
      </w:pPr>
      <w:r>
        <w:rPr>
          <w:lang w:val="en-US"/>
        </w:rPr>
        <w:t xml:space="preserve">Going one step further, we investigated to which extent </w:t>
      </w:r>
      <w:r w:rsidR="00521E06">
        <w:rPr>
          <w:lang w:val="en-US"/>
        </w:rPr>
        <w:t>one can say that the high turnover measures for youths can be attributed to their younger age. In other words, we conducted some exercises to isolate the contribution of the workers’ age from that of other factors. This was</w:t>
      </w:r>
      <w:r w:rsidR="00DC1FC0">
        <w:rPr>
          <w:lang w:val="en-US"/>
        </w:rPr>
        <w:t xml:space="preserve"> carried out</w:t>
      </w:r>
      <w:r w:rsidR="00521E06">
        <w:rPr>
          <w:lang w:val="en-US"/>
        </w:rPr>
        <w:t xml:space="preserve"> through </w:t>
      </w:r>
      <w:r w:rsidR="006762B7">
        <w:rPr>
          <w:lang w:val="en-US"/>
        </w:rPr>
        <w:t xml:space="preserve">two exercises. The first was </w:t>
      </w:r>
      <w:r w:rsidR="00DC1FC0">
        <w:rPr>
          <w:lang w:val="en-US"/>
        </w:rPr>
        <w:t xml:space="preserve">a </w:t>
      </w:r>
      <w:r w:rsidR="00521E06">
        <w:rPr>
          <w:lang w:val="en-US"/>
        </w:rPr>
        <w:t xml:space="preserve">statistical </w:t>
      </w:r>
      <w:r w:rsidR="006762B7">
        <w:rPr>
          <w:lang w:val="en-US"/>
        </w:rPr>
        <w:t xml:space="preserve">model </w:t>
      </w:r>
      <w:r w:rsidR="00521E06">
        <w:rPr>
          <w:lang w:val="en-US"/>
        </w:rPr>
        <w:t>that trie</w:t>
      </w:r>
      <w:r w:rsidR="00DC1FC0">
        <w:rPr>
          <w:lang w:val="en-US"/>
        </w:rPr>
        <w:t>d</w:t>
      </w:r>
      <w:r w:rsidR="00521E06">
        <w:rPr>
          <w:lang w:val="en-US"/>
        </w:rPr>
        <w:t xml:space="preserve"> to separate out the relative importance of age </w:t>
      </w:r>
      <w:r w:rsidR="006762B7">
        <w:rPr>
          <w:lang w:val="en-US"/>
        </w:rPr>
        <w:t>to explain the variation observed in various flow measures we used throughout the paper. The second was an econometric model of duration that trie</w:t>
      </w:r>
      <w:r w:rsidR="00DC1FC0">
        <w:rPr>
          <w:lang w:val="en-US"/>
        </w:rPr>
        <w:t>d</w:t>
      </w:r>
      <w:r w:rsidR="006762B7">
        <w:rPr>
          <w:lang w:val="en-US"/>
        </w:rPr>
        <w:t xml:space="preserve"> to isolate the contribution of age on the duration of employment. Establishments’ unobserved characteristics were incorporated in this last model. The results from both types of models show that to some extent the age of the worker contribute</w:t>
      </w:r>
      <w:r w:rsidR="00A100D0">
        <w:rPr>
          <w:lang w:val="en-US"/>
        </w:rPr>
        <w:t>s</w:t>
      </w:r>
      <w:r w:rsidR="006762B7">
        <w:rPr>
          <w:lang w:val="en-US"/>
        </w:rPr>
        <w:t xml:space="preserve"> to explain the higher turnover rates </w:t>
      </w:r>
      <w:r w:rsidR="00BC136E">
        <w:rPr>
          <w:lang w:val="en-US"/>
        </w:rPr>
        <w:t xml:space="preserve">and the lower employment duration </w:t>
      </w:r>
      <w:r w:rsidR="006762B7">
        <w:rPr>
          <w:lang w:val="en-US"/>
        </w:rPr>
        <w:t>observed for younger workers.</w:t>
      </w:r>
    </w:p>
    <w:p w:rsidR="006848EB" w:rsidRDefault="00BC136E" w:rsidP="00066EBC">
      <w:pPr>
        <w:spacing w:line="360" w:lineRule="auto"/>
        <w:rPr>
          <w:lang w:val="en-US"/>
        </w:rPr>
      </w:pPr>
      <w:r>
        <w:rPr>
          <w:lang w:val="en-US"/>
        </w:rPr>
        <w:t xml:space="preserve">Condensing these results for policy purposes, the main empirical result is that young workers experience very high </w:t>
      </w:r>
      <w:r w:rsidR="00410AB1">
        <w:rPr>
          <w:lang w:val="en-US"/>
        </w:rPr>
        <w:t>rates of turnover in Brazil</w:t>
      </w:r>
      <w:r w:rsidR="00DC1FC0">
        <w:rPr>
          <w:lang w:val="en-US"/>
        </w:rPr>
        <w:t xml:space="preserve"> due to both hiring and separation rates</w:t>
      </w:r>
      <w:r w:rsidR="00410AB1">
        <w:rPr>
          <w:lang w:val="en-US"/>
        </w:rPr>
        <w:t xml:space="preserve">. In order to make the turnover rate decline, the main margin of policy attention </w:t>
      </w:r>
      <w:r w:rsidR="00B340C3">
        <w:rPr>
          <w:lang w:val="en-US"/>
        </w:rPr>
        <w:t xml:space="preserve">should be </w:t>
      </w:r>
      <w:r w:rsidR="00410AB1">
        <w:rPr>
          <w:lang w:val="en-US"/>
        </w:rPr>
        <w:t>the separation rate.</w:t>
      </w:r>
      <w:r>
        <w:rPr>
          <w:lang w:val="en-US"/>
        </w:rPr>
        <w:t xml:space="preserve"> </w:t>
      </w:r>
      <w:r w:rsidR="00B340C3">
        <w:rPr>
          <w:lang w:val="en-US"/>
        </w:rPr>
        <w:t>Indeed, t</w:t>
      </w:r>
      <w:r>
        <w:rPr>
          <w:lang w:val="en-US"/>
        </w:rPr>
        <w:t xml:space="preserve">hough </w:t>
      </w:r>
      <w:proofErr w:type="spellStart"/>
      <w:r>
        <w:rPr>
          <w:lang w:val="en-US"/>
        </w:rPr>
        <w:t>hiring</w:t>
      </w:r>
      <w:r w:rsidR="00B340C3">
        <w:rPr>
          <w:lang w:val="en-US"/>
        </w:rPr>
        <w:t>s</w:t>
      </w:r>
      <w:proofErr w:type="spellEnd"/>
      <w:r>
        <w:rPr>
          <w:lang w:val="en-US"/>
        </w:rPr>
        <w:t xml:space="preserve"> </w:t>
      </w:r>
      <w:r w:rsidR="00B340C3">
        <w:rPr>
          <w:lang w:val="en-US"/>
        </w:rPr>
        <w:t xml:space="preserve">and </w:t>
      </w:r>
      <w:r>
        <w:rPr>
          <w:lang w:val="en-US"/>
        </w:rPr>
        <w:t>separation</w:t>
      </w:r>
      <w:r w:rsidR="00B340C3">
        <w:rPr>
          <w:lang w:val="en-US"/>
        </w:rPr>
        <w:t>s</w:t>
      </w:r>
      <w:r>
        <w:rPr>
          <w:lang w:val="en-US"/>
        </w:rPr>
        <w:t xml:space="preserve"> </w:t>
      </w:r>
      <w:r w:rsidR="00B340C3">
        <w:rPr>
          <w:lang w:val="en-US"/>
        </w:rPr>
        <w:t>are interrelated</w:t>
      </w:r>
      <w:r>
        <w:rPr>
          <w:lang w:val="en-US"/>
        </w:rPr>
        <w:t xml:space="preserve">, </w:t>
      </w:r>
      <w:r w:rsidR="00B340C3">
        <w:rPr>
          <w:lang w:val="en-US"/>
        </w:rPr>
        <w:t>tackling the problem of high levels of separations looks more efficient in the sense it directly attempts to keep workers longer in their jobs.</w:t>
      </w:r>
      <w:r w:rsidR="00DC1FC0">
        <w:rPr>
          <w:lang w:val="en-US"/>
        </w:rPr>
        <w:t xml:space="preserve"> The high hiring rates does not credence a lack of jobs for youth. Rather, the high separation rates imply short lived unstable jobs.</w:t>
      </w:r>
    </w:p>
    <w:p w:rsidR="00BA6026" w:rsidRDefault="00DC1FC0" w:rsidP="00066EBC">
      <w:pPr>
        <w:spacing w:line="360" w:lineRule="auto"/>
        <w:rPr>
          <w:lang w:val="en-US"/>
        </w:rPr>
      </w:pPr>
      <w:r>
        <w:rPr>
          <w:lang w:val="en-US"/>
        </w:rPr>
        <w:t>O</w:t>
      </w:r>
      <w:r w:rsidR="00C44CB8">
        <w:rPr>
          <w:lang w:val="en-US"/>
        </w:rPr>
        <w:t>ne must firstly recognize that other factors apart from the age of individuals operate. In particular, as the results of</w:t>
      </w:r>
      <w:r w:rsidR="00E6076C">
        <w:rPr>
          <w:lang w:val="en-US"/>
        </w:rPr>
        <w:t xml:space="preserve"> section 6 show</w:t>
      </w:r>
      <w:r w:rsidR="00C44CB8">
        <w:rPr>
          <w:lang w:val="en-US"/>
        </w:rPr>
        <w:t xml:space="preserve">, the education of workers seems to be an important factor </w:t>
      </w:r>
      <w:r w:rsidR="00E6076C">
        <w:rPr>
          <w:lang w:val="en-US"/>
        </w:rPr>
        <w:t>to decrease turnover</w:t>
      </w:r>
      <w:r w:rsidR="00C44CB8">
        <w:rPr>
          <w:lang w:val="en-US"/>
        </w:rPr>
        <w:t>.</w:t>
      </w:r>
      <w:r w:rsidR="00E6076C">
        <w:rPr>
          <w:lang w:val="en-US"/>
        </w:rPr>
        <w:t xml:space="preserve"> In this sense, the more the education policy accelerates the increase in the schooling level</w:t>
      </w:r>
      <w:r w:rsidR="00C44CB8">
        <w:rPr>
          <w:lang w:val="en-US"/>
        </w:rPr>
        <w:t xml:space="preserve"> </w:t>
      </w:r>
      <w:r w:rsidR="00E6076C">
        <w:rPr>
          <w:lang w:val="en-US"/>
        </w:rPr>
        <w:t>of the new cohorts of workers, the lower should be the turnover expected for them.</w:t>
      </w:r>
    </w:p>
    <w:p w:rsidR="00E6076C" w:rsidRDefault="00E6076C" w:rsidP="00066EBC">
      <w:pPr>
        <w:spacing w:line="360" w:lineRule="auto"/>
        <w:rPr>
          <w:lang w:val="en-US"/>
        </w:rPr>
      </w:pPr>
      <w:r>
        <w:rPr>
          <w:lang w:val="en-US"/>
        </w:rPr>
        <w:t xml:space="preserve">Labor market policies should also </w:t>
      </w:r>
      <w:r w:rsidR="00DC1FC0">
        <w:rPr>
          <w:lang w:val="en-US"/>
        </w:rPr>
        <w:t xml:space="preserve">be </w:t>
      </w:r>
      <w:r>
        <w:rPr>
          <w:lang w:val="en-US"/>
        </w:rPr>
        <w:t>part of the strategy to lower the separation rate. Probably, job search assistance initiatives cannot do much</w:t>
      </w:r>
      <w:r w:rsidR="001C6E28">
        <w:rPr>
          <w:lang w:val="en-US"/>
        </w:rPr>
        <w:t xml:space="preserve">, unless they are capable of generating worker-firm </w:t>
      </w:r>
      <w:proofErr w:type="spellStart"/>
      <w:r w:rsidR="001C6E28">
        <w:rPr>
          <w:lang w:val="en-US"/>
        </w:rPr>
        <w:t>matchings</w:t>
      </w:r>
      <w:proofErr w:type="spellEnd"/>
      <w:r w:rsidR="001C6E28">
        <w:rPr>
          <w:lang w:val="en-US"/>
        </w:rPr>
        <w:t xml:space="preserve"> that produce longer employment durations. Providing wage or tax subsidies for firms to extend the tenure of youths should be thought very carefully in particular because its costs can become very high. One could also devise a system that creates incentives for young workers and firms to increase the value of </w:t>
      </w:r>
      <w:r w:rsidR="001C6E28">
        <w:rPr>
          <w:lang w:val="en-US"/>
        </w:rPr>
        <w:lastRenderedPageBreak/>
        <w:t xml:space="preserve">longer job relationships. </w:t>
      </w:r>
      <w:r w:rsidR="008B1029">
        <w:rPr>
          <w:lang w:val="en-US"/>
        </w:rPr>
        <w:t>Finally, training programs partially funded by the worker and the firm may create incentives for both parties to invest in each other in the longer term.</w:t>
      </w:r>
    </w:p>
    <w:p w:rsidR="00417EAD" w:rsidRDefault="00417EAD">
      <w:pPr>
        <w:rPr>
          <w:b/>
          <w:bCs/>
          <w:lang w:val="en-US"/>
        </w:rPr>
      </w:pPr>
    </w:p>
    <w:p w:rsidR="007E0DE8" w:rsidRPr="00534E27" w:rsidRDefault="007E0DE8">
      <w:pPr>
        <w:rPr>
          <w:b/>
          <w:bCs/>
          <w:lang w:val="en-US"/>
        </w:rPr>
      </w:pPr>
      <w:r w:rsidRPr="00534E27">
        <w:rPr>
          <w:b/>
          <w:bCs/>
          <w:lang w:val="en-US"/>
        </w:rPr>
        <w:t>References</w:t>
      </w:r>
    </w:p>
    <w:p w:rsidR="006B70F5" w:rsidRPr="006B70F5" w:rsidRDefault="006B70F5" w:rsidP="00C75439">
      <w:pPr>
        <w:spacing w:after="240"/>
        <w:ind w:left="706" w:hanging="706"/>
        <w:rPr>
          <w:rStyle w:val="Bibliogrphy"/>
          <w:lang w:val="en-US"/>
        </w:rPr>
      </w:pPr>
      <w:proofErr w:type="spellStart"/>
      <w:proofErr w:type="gramStart"/>
      <w:r>
        <w:rPr>
          <w:color w:val="333333"/>
          <w:lang w:val="en-US"/>
        </w:rPr>
        <w:t>Abowd</w:t>
      </w:r>
      <w:proofErr w:type="spellEnd"/>
      <w:r>
        <w:rPr>
          <w:color w:val="333333"/>
          <w:lang w:val="en-US"/>
        </w:rPr>
        <w:t>, J.</w:t>
      </w:r>
      <w:r w:rsidRPr="006B70F5">
        <w:rPr>
          <w:color w:val="333333"/>
          <w:lang w:val="en-US"/>
        </w:rPr>
        <w:t xml:space="preserve"> M. </w:t>
      </w:r>
      <w:r>
        <w:rPr>
          <w:color w:val="333333"/>
          <w:lang w:val="en-US"/>
        </w:rPr>
        <w:t>and</w:t>
      </w:r>
      <w:r w:rsidRPr="006B70F5">
        <w:rPr>
          <w:color w:val="333333"/>
          <w:lang w:val="en-US"/>
        </w:rPr>
        <w:t xml:space="preserve"> </w:t>
      </w:r>
      <w:proofErr w:type="spellStart"/>
      <w:r w:rsidRPr="006B70F5">
        <w:rPr>
          <w:color w:val="333333"/>
          <w:lang w:val="en-US"/>
        </w:rPr>
        <w:t>Kramarz</w:t>
      </w:r>
      <w:proofErr w:type="spellEnd"/>
      <w:r w:rsidRPr="006B70F5">
        <w:rPr>
          <w:color w:val="333333"/>
          <w:lang w:val="en-US"/>
        </w:rPr>
        <w:t>, F</w:t>
      </w:r>
      <w:r>
        <w:rPr>
          <w:color w:val="333333"/>
          <w:lang w:val="en-US"/>
        </w:rPr>
        <w:t>.</w:t>
      </w:r>
      <w:r w:rsidRPr="006B70F5">
        <w:rPr>
          <w:color w:val="333333"/>
          <w:lang w:val="en-US"/>
        </w:rPr>
        <w:t xml:space="preserve">, </w:t>
      </w:r>
      <w:r>
        <w:rPr>
          <w:color w:val="333333"/>
          <w:lang w:val="en-US"/>
        </w:rPr>
        <w:t>(</w:t>
      </w:r>
      <w:r w:rsidRPr="006B70F5">
        <w:rPr>
          <w:color w:val="333333"/>
          <w:lang w:val="en-US"/>
        </w:rPr>
        <w:t>1999</w:t>
      </w:r>
      <w:r>
        <w:rPr>
          <w:color w:val="333333"/>
          <w:lang w:val="en-US"/>
        </w:rPr>
        <w:t>)</w:t>
      </w:r>
      <w:r w:rsidRPr="006B70F5">
        <w:rPr>
          <w:color w:val="333333"/>
          <w:lang w:val="en-US"/>
        </w:rPr>
        <w:t>.</w:t>
      </w:r>
      <w:proofErr w:type="gramEnd"/>
      <w:r w:rsidRPr="006B70F5">
        <w:rPr>
          <w:color w:val="333333"/>
          <w:lang w:val="en-US"/>
        </w:rPr>
        <w:t xml:space="preserve"> "</w:t>
      </w:r>
      <w:hyperlink r:id="rId21" w:history="1">
        <w:r w:rsidRPr="006B70F5">
          <w:rPr>
            <w:rStyle w:val="Hyperlink"/>
            <w:rFonts w:ascii="Times New Roman" w:hAnsi="Times New Roman" w:cs="Times New Roman"/>
            <w:b w:val="0"/>
            <w:bCs w:val="0"/>
            <w:sz w:val="24"/>
            <w:szCs w:val="24"/>
            <w:lang w:val="en-US"/>
          </w:rPr>
          <w:t>The analysis of labor markets using matched employer-employee data</w:t>
        </w:r>
      </w:hyperlink>
      <w:r w:rsidRPr="006B70F5">
        <w:rPr>
          <w:color w:val="333333"/>
          <w:lang w:val="en-US"/>
        </w:rPr>
        <w:t xml:space="preserve">" in: O. </w:t>
      </w:r>
      <w:proofErr w:type="spellStart"/>
      <w:r w:rsidRPr="006B70F5">
        <w:rPr>
          <w:color w:val="333333"/>
          <w:lang w:val="en-US"/>
        </w:rPr>
        <w:t>Ashenfelter</w:t>
      </w:r>
      <w:proofErr w:type="spellEnd"/>
      <w:r w:rsidRPr="006B70F5">
        <w:rPr>
          <w:color w:val="333333"/>
          <w:lang w:val="en-US"/>
        </w:rPr>
        <w:t xml:space="preserve"> &amp; D. Card (ed.), Handbook of Labor Economics, volume 3, chapter 40, pages 2629-2710 Elsevier</w:t>
      </w:r>
    </w:p>
    <w:p w:rsidR="00F64781" w:rsidRDefault="00435423" w:rsidP="00F64781">
      <w:pPr>
        <w:spacing w:after="240"/>
        <w:ind w:left="706" w:hanging="706"/>
        <w:rPr>
          <w:rStyle w:val="Bibliogrphy"/>
          <w:lang w:val="en-US"/>
        </w:rPr>
      </w:pPr>
      <w:r w:rsidRPr="00534E27">
        <w:rPr>
          <w:rStyle w:val="Bibliogrphy"/>
          <w:lang w:val="en-US"/>
        </w:rPr>
        <w:t xml:space="preserve">Allison, P. (1996) </w:t>
      </w:r>
      <w:r w:rsidR="007D402D" w:rsidRPr="00534E27">
        <w:rPr>
          <w:rStyle w:val="Bibliogrphy"/>
          <w:lang w:val="en-US"/>
        </w:rPr>
        <w:t>“</w:t>
      </w:r>
      <w:r w:rsidRPr="00534E27">
        <w:rPr>
          <w:rStyle w:val="Bibliogrphy"/>
          <w:lang w:val="en-US"/>
        </w:rPr>
        <w:t>Fixed-Effects Partial Likelihood for Repeated Events</w:t>
      </w:r>
      <w:r w:rsidR="007D402D" w:rsidRPr="00534E27">
        <w:rPr>
          <w:rStyle w:val="Bibliogrphy"/>
          <w:lang w:val="en-US"/>
        </w:rPr>
        <w:t xml:space="preserve">” </w:t>
      </w:r>
      <w:r w:rsidR="007D402D" w:rsidRPr="00534E27">
        <w:rPr>
          <w:rStyle w:val="Bibliogrphy"/>
          <w:i/>
          <w:lang w:val="en-US"/>
        </w:rPr>
        <w:t>Sociological Methods &amp; Research</w:t>
      </w:r>
      <w:r w:rsidR="007D402D" w:rsidRPr="00534E27">
        <w:rPr>
          <w:rStyle w:val="Bibliogrphy"/>
          <w:lang w:val="en-US"/>
        </w:rPr>
        <w:t>, 25(2): 207-222.</w:t>
      </w:r>
    </w:p>
    <w:p w:rsidR="00F64781" w:rsidRDefault="00CA4ECD" w:rsidP="00F64781">
      <w:pPr>
        <w:spacing w:after="240"/>
        <w:ind w:left="706" w:hanging="706"/>
        <w:rPr>
          <w:lang w:val="en-US"/>
        </w:rPr>
      </w:pPr>
      <w:proofErr w:type="gramStart"/>
      <w:r w:rsidRPr="00534E27">
        <w:rPr>
          <w:lang w:val="en-US"/>
        </w:rPr>
        <w:t>Blanchard</w:t>
      </w:r>
      <w:r w:rsidR="001D04B9" w:rsidRPr="00534E27">
        <w:rPr>
          <w:lang w:val="en-US"/>
        </w:rPr>
        <w:t xml:space="preserve">, O.; </w:t>
      </w:r>
      <w:r w:rsidRPr="00534E27">
        <w:rPr>
          <w:lang w:val="en-US"/>
        </w:rPr>
        <w:t>Diamond</w:t>
      </w:r>
      <w:r w:rsidR="001D04B9" w:rsidRPr="00534E27">
        <w:rPr>
          <w:lang w:val="en-US"/>
        </w:rPr>
        <w:t>, P.</w:t>
      </w:r>
      <w:proofErr w:type="gramEnd"/>
      <w:r w:rsidR="001D04B9" w:rsidRPr="00534E27">
        <w:rPr>
          <w:lang w:val="en-US"/>
        </w:rPr>
        <w:t xml:space="preserve"> </w:t>
      </w:r>
      <w:proofErr w:type="gramStart"/>
      <w:r w:rsidR="001D04B9" w:rsidRPr="00534E27">
        <w:rPr>
          <w:lang w:val="en-US"/>
        </w:rPr>
        <w:t>The flow approach to labor market.</w:t>
      </w:r>
      <w:proofErr w:type="gramEnd"/>
      <w:r w:rsidR="001D04B9" w:rsidRPr="00534E27">
        <w:rPr>
          <w:lang w:val="en-US"/>
        </w:rPr>
        <w:t xml:space="preserve"> </w:t>
      </w:r>
      <w:proofErr w:type="gramStart"/>
      <w:r w:rsidR="001D04B9" w:rsidRPr="00534E27">
        <w:rPr>
          <w:bCs/>
          <w:i/>
          <w:lang w:val="en-US"/>
        </w:rPr>
        <w:t>American Economic</w:t>
      </w:r>
      <w:r w:rsidR="00BB6837" w:rsidRPr="00534E27">
        <w:rPr>
          <w:bCs/>
          <w:i/>
          <w:lang w:val="en-US"/>
        </w:rPr>
        <w:t xml:space="preserve"> </w:t>
      </w:r>
      <w:r w:rsidR="001D04B9" w:rsidRPr="00534E27">
        <w:rPr>
          <w:bCs/>
          <w:i/>
          <w:lang w:val="en-US"/>
        </w:rPr>
        <w:t>Review</w:t>
      </w:r>
      <w:r w:rsidR="001D04B9" w:rsidRPr="00534E27">
        <w:rPr>
          <w:lang w:val="en-US"/>
        </w:rPr>
        <w:t>, Papers</w:t>
      </w:r>
      <w:r w:rsidRPr="00534E27">
        <w:rPr>
          <w:lang w:val="en-US"/>
        </w:rPr>
        <w:t xml:space="preserve"> </w:t>
      </w:r>
      <w:r w:rsidR="001D04B9" w:rsidRPr="00534E27">
        <w:rPr>
          <w:lang w:val="en-US"/>
        </w:rPr>
        <w:t xml:space="preserve">and </w:t>
      </w:r>
      <w:r w:rsidR="00C75439" w:rsidRPr="00534E27">
        <w:rPr>
          <w:lang w:val="en-US"/>
        </w:rPr>
        <w:tab/>
      </w:r>
      <w:r w:rsidR="001D04B9" w:rsidRPr="00534E27">
        <w:rPr>
          <w:lang w:val="en-US"/>
        </w:rPr>
        <w:t>Proceedings, v. 82, p. 354-359, 1992.</w:t>
      </w:r>
      <w:proofErr w:type="gramEnd"/>
    </w:p>
    <w:p w:rsidR="00F64781" w:rsidRDefault="00774B34" w:rsidP="00F64781">
      <w:pPr>
        <w:spacing w:after="240"/>
        <w:ind w:left="706" w:hanging="706"/>
        <w:rPr>
          <w:rStyle w:val="Bibliogrphy"/>
          <w:lang w:val="en-US"/>
        </w:rPr>
      </w:pPr>
      <w:proofErr w:type="spellStart"/>
      <w:r w:rsidRPr="00534E27">
        <w:rPr>
          <w:lang w:val="en-US"/>
        </w:rPr>
        <w:t>Blanchflower</w:t>
      </w:r>
      <w:proofErr w:type="spellEnd"/>
      <w:r w:rsidRPr="00534E27">
        <w:rPr>
          <w:lang w:val="en-US"/>
        </w:rPr>
        <w:t xml:space="preserve">, D. and Freeman, R. (2000) </w:t>
      </w:r>
      <w:r w:rsidRPr="00534E27">
        <w:rPr>
          <w:u w:val="single"/>
          <w:lang w:val="en-US"/>
        </w:rPr>
        <w:t>Youth Employment and Joblessness in Advanced Countries</w:t>
      </w:r>
      <w:r w:rsidRPr="00534E27">
        <w:rPr>
          <w:lang w:val="en-US"/>
        </w:rPr>
        <w:t xml:space="preserve">, </w:t>
      </w:r>
      <w:r w:rsidRPr="00534E27">
        <w:rPr>
          <w:lang w:val="en-US"/>
        </w:rPr>
        <w:tab/>
      </w:r>
      <w:r w:rsidRPr="00534E27">
        <w:rPr>
          <w:rStyle w:val="Bibliogrphy"/>
          <w:lang w:val="en-US"/>
        </w:rPr>
        <w:t xml:space="preserve">Chicago: </w:t>
      </w:r>
      <w:r w:rsidR="00570DED" w:rsidRPr="00534E27">
        <w:rPr>
          <w:rStyle w:val="Bibliogrphy"/>
          <w:lang w:val="en-US"/>
        </w:rPr>
        <w:t xml:space="preserve">NBER and </w:t>
      </w:r>
      <w:r w:rsidRPr="00534E27">
        <w:rPr>
          <w:rStyle w:val="Bibliogrphy"/>
          <w:lang w:val="en-US"/>
        </w:rPr>
        <w:t>University of Chicago Press.</w:t>
      </w:r>
    </w:p>
    <w:p w:rsidR="00A12CCD" w:rsidRPr="00534E27" w:rsidRDefault="00A12CCD" w:rsidP="00F64781">
      <w:pPr>
        <w:spacing w:after="240"/>
        <w:ind w:left="706" w:hanging="706"/>
        <w:rPr>
          <w:rStyle w:val="Bibliogrphy"/>
          <w:lang w:val="en-US"/>
        </w:rPr>
      </w:pPr>
      <w:proofErr w:type="gramStart"/>
      <w:r w:rsidRPr="00534E27">
        <w:rPr>
          <w:lang w:val="en-US"/>
        </w:rPr>
        <w:t xml:space="preserve">Bell, D. and </w:t>
      </w:r>
      <w:proofErr w:type="spellStart"/>
      <w:r w:rsidRPr="00534E27">
        <w:rPr>
          <w:lang w:val="en-US"/>
        </w:rPr>
        <w:t>Blanchflower</w:t>
      </w:r>
      <w:proofErr w:type="spellEnd"/>
      <w:r w:rsidRPr="00534E27">
        <w:rPr>
          <w:lang w:val="en-US"/>
        </w:rPr>
        <w:t xml:space="preserve">, D. (2011) “Youth Unemployment in Europe and the United States”, IZA </w:t>
      </w:r>
      <w:r w:rsidRPr="00534E27">
        <w:rPr>
          <w:lang w:val="en-US"/>
        </w:rPr>
        <w:tab/>
        <w:t>Discussion Paper n. 5673.</w:t>
      </w:r>
      <w:proofErr w:type="gramEnd"/>
    </w:p>
    <w:p w:rsidR="00584640" w:rsidRDefault="00584640" w:rsidP="00584640">
      <w:pPr>
        <w:ind w:left="706" w:hanging="706"/>
        <w:rPr>
          <w:lang w:val="en-US"/>
        </w:rPr>
      </w:pPr>
      <w:proofErr w:type="spellStart"/>
      <w:r w:rsidRPr="00534E27">
        <w:rPr>
          <w:lang w:val="en-US"/>
        </w:rPr>
        <w:t>Burguess</w:t>
      </w:r>
      <w:proofErr w:type="spellEnd"/>
      <w:r w:rsidRPr="00534E27">
        <w:rPr>
          <w:lang w:val="en-US"/>
        </w:rPr>
        <w:t xml:space="preserve">, </w:t>
      </w:r>
      <w:r w:rsidR="00D94EFD" w:rsidRPr="00534E27">
        <w:rPr>
          <w:lang w:val="en-US"/>
        </w:rPr>
        <w:t xml:space="preserve">S., </w:t>
      </w:r>
      <w:r w:rsidRPr="00534E27">
        <w:rPr>
          <w:lang w:val="en-US"/>
        </w:rPr>
        <w:t xml:space="preserve">Lane and Stevens (2001), “Churning dynamics: an analysis of hires and separations at the employer level”, </w:t>
      </w:r>
      <w:proofErr w:type="spellStart"/>
      <w:r w:rsidRPr="00534E27">
        <w:rPr>
          <w:i/>
          <w:lang w:val="en-US"/>
        </w:rPr>
        <w:t>Labour</w:t>
      </w:r>
      <w:proofErr w:type="spellEnd"/>
      <w:r w:rsidRPr="00534E27">
        <w:rPr>
          <w:i/>
          <w:lang w:val="en-US"/>
        </w:rPr>
        <w:t xml:space="preserve"> Economics</w:t>
      </w:r>
      <w:r w:rsidRPr="00534E27">
        <w:rPr>
          <w:lang w:val="en-US"/>
        </w:rPr>
        <w:t>, 8(1)</w:t>
      </w:r>
      <w:r w:rsidR="00D94EFD" w:rsidRPr="00534E27">
        <w:rPr>
          <w:lang w:val="en-US"/>
        </w:rPr>
        <w:t>:</w:t>
      </w:r>
      <w:r w:rsidRPr="00534E27">
        <w:rPr>
          <w:lang w:val="en-US"/>
        </w:rPr>
        <w:t xml:space="preserve"> 1-14.</w:t>
      </w:r>
    </w:p>
    <w:p w:rsidR="00E83695" w:rsidRPr="00E83695" w:rsidRDefault="00E83695" w:rsidP="00584640">
      <w:pPr>
        <w:ind w:left="706" w:hanging="706"/>
      </w:pPr>
      <w:r w:rsidRPr="00E83695">
        <w:t xml:space="preserve">Camargo, J.M. (1996): </w:t>
      </w:r>
      <w:r w:rsidRPr="00E83695">
        <w:rPr>
          <w:i/>
        </w:rPr>
        <w:t>Flexibilidade no Mercado de Trabalho no Brasil</w:t>
      </w:r>
      <w:r>
        <w:t>, FGV, Rio de Janeiro.</w:t>
      </w:r>
    </w:p>
    <w:p w:rsidR="007D402D" w:rsidRPr="006B70F5" w:rsidRDefault="007D402D" w:rsidP="00584640">
      <w:pPr>
        <w:ind w:left="706" w:hanging="706"/>
      </w:pPr>
      <w:proofErr w:type="gramStart"/>
      <w:r w:rsidRPr="00534E27">
        <w:rPr>
          <w:lang w:val="en-US"/>
        </w:rPr>
        <w:t xml:space="preserve">Chamberlain, G. (1985) “Heterogeneity, </w:t>
      </w:r>
      <w:proofErr w:type="spellStart"/>
      <w:r w:rsidRPr="00534E27">
        <w:rPr>
          <w:lang w:val="en-US"/>
        </w:rPr>
        <w:t>Ommited</w:t>
      </w:r>
      <w:proofErr w:type="spellEnd"/>
      <w:r w:rsidRPr="00534E27">
        <w:rPr>
          <w:lang w:val="en-US"/>
        </w:rPr>
        <w:t xml:space="preserve"> Variable Bias, and Duration Dependence” pp.3-38 in Longitudinal Analysis of Labor Market Data, ed. </w:t>
      </w:r>
      <w:r w:rsidRPr="006B70F5">
        <w:t>J. Heckman and B. Singer.</w:t>
      </w:r>
      <w:proofErr w:type="gramEnd"/>
      <w:r w:rsidRPr="006B70F5">
        <w:t xml:space="preserve"> Cambridge Univ. Press.</w:t>
      </w:r>
    </w:p>
    <w:p w:rsidR="00BB416A" w:rsidRPr="006B70F5" w:rsidRDefault="00BB416A" w:rsidP="00BB416A">
      <w:pPr>
        <w:ind w:left="709" w:hanging="720"/>
        <w:rPr>
          <w:rStyle w:val="Bibliogrphy"/>
          <w:lang w:val="en-US"/>
        </w:rPr>
      </w:pPr>
      <w:r w:rsidRPr="00534E27">
        <w:rPr>
          <w:rStyle w:val="Bibliogrphy"/>
        </w:rPr>
        <w:t>Corseuil, C.H. and L.S. Santos (200</w:t>
      </w:r>
      <w:r w:rsidR="00EE5136">
        <w:rPr>
          <w:rStyle w:val="Bibliogrphy"/>
        </w:rPr>
        <w:t>6</w:t>
      </w:r>
      <w:r w:rsidRPr="00534E27">
        <w:rPr>
          <w:rStyle w:val="Bibliogrphy"/>
        </w:rPr>
        <w:t xml:space="preserve">) </w:t>
      </w:r>
      <w:r w:rsidRPr="00534E27">
        <w:rPr>
          <w:rStyle w:val="Bibliogrphy"/>
          <w:i/>
        </w:rPr>
        <w:t>Criação, Destruição e Realocação de Empregos no Brasil</w:t>
      </w:r>
      <w:r w:rsidRPr="00534E27">
        <w:rPr>
          <w:rStyle w:val="Bibliogrphy"/>
        </w:rPr>
        <w:t xml:space="preserve">. </w:t>
      </w:r>
      <w:r w:rsidRPr="006B70F5">
        <w:rPr>
          <w:rStyle w:val="Bibliogrphy"/>
          <w:lang w:val="en-US"/>
        </w:rPr>
        <w:t xml:space="preserve">Rio de Janeiro: IPEA. </w:t>
      </w:r>
    </w:p>
    <w:p w:rsidR="00DB55D0" w:rsidRPr="00EE5136" w:rsidRDefault="00DB55D0" w:rsidP="006B70F5">
      <w:pPr>
        <w:spacing w:after="240" w:line="276" w:lineRule="auto"/>
        <w:jc w:val="center"/>
        <w:outlineLvl w:val="0"/>
        <w:rPr>
          <w:rStyle w:val="Bibliogrphy"/>
          <w:lang w:val="en-US"/>
        </w:rPr>
      </w:pPr>
      <w:r w:rsidRPr="00EE5136">
        <w:rPr>
          <w:rStyle w:val="Bibliogrphy"/>
          <w:lang w:val="en-US"/>
        </w:rPr>
        <w:t>Corseuil, C. H.,</w:t>
      </w:r>
      <w:r w:rsidR="006B70F5">
        <w:rPr>
          <w:rStyle w:val="Bibliogrphy"/>
          <w:lang w:val="en-US"/>
        </w:rPr>
        <w:t xml:space="preserve"> </w:t>
      </w:r>
      <w:r w:rsidR="00EE5136" w:rsidRPr="00EE5136">
        <w:rPr>
          <w:rStyle w:val="Bibliogrphy"/>
          <w:lang w:val="en-US"/>
        </w:rPr>
        <w:t>Foguel, M.</w:t>
      </w:r>
      <w:r w:rsidRPr="00EE5136">
        <w:rPr>
          <w:rStyle w:val="Bibliogrphy"/>
          <w:lang w:val="en-US"/>
        </w:rPr>
        <w:t xml:space="preserve"> and </w:t>
      </w:r>
      <w:r w:rsidR="00EE5136" w:rsidRPr="00EE5136">
        <w:rPr>
          <w:rStyle w:val="Bibliogrphy"/>
          <w:lang w:val="en-US"/>
        </w:rPr>
        <w:t>Gonzaga, G.</w:t>
      </w:r>
      <w:r w:rsidRPr="00EE5136">
        <w:rPr>
          <w:b/>
          <w:lang w:val="en-US"/>
        </w:rPr>
        <w:t xml:space="preserve"> </w:t>
      </w:r>
      <w:r w:rsidRPr="00EE5136">
        <w:rPr>
          <w:lang w:val="en-US"/>
        </w:rPr>
        <w:t>(201</w:t>
      </w:r>
      <w:r w:rsidR="00EE5136" w:rsidRPr="00EE5136">
        <w:rPr>
          <w:lang w:val="en-US"/>
        </w:rPr>
        <w:t>3</w:t>
      </w:r>
      <w:r w:rsidRPr="00EE5136">
        <w:rPr>
          <w:lang w:val="en-US"/>
        </w:rPr>
        <w:t>)</w:t>
      </w:r>
      <w:r w:rsidRPr="00EE5136">
        <w:rPr>
          <w:b/>
          <w:lang w:val="en-US"/>
        </w:rPr>
        <w:t xml:space="preserve"> </w:t>
      </w:r>
      <w:r w:rsidR="00EE5136">
        <w:rPr>
          <w:lang w:val="en-US"/>
        </w:rPr>
        <w:t>“T</w:t>
      </w:r>
      <w:r w:rsidR="00EE5136" w:rsidRPr="00EE5136">
        <w:rPr>
          <w:lang w:val="en-US"/>
        </w:rPr>
        <w:t xml:space="preserve">he effects of an apprenticeship program on labor market outcomes of youths in </w:t>
      </w:r>
      <w:r w:rsidR="00F64781">
        <w:rPr>
          <w:lang w:val="en-US"/>
        </w:rPr>
        <w:t>B</w:t>
      </w:r>
      <w:r w:rsidR="00EE5136" w:rsidRPr="00EE5136">
        <w:rPr>
          <w:lang w:val="en-US"/>
        </w:rPr>
        <w:t>razil</w:t>
      </w:r>
      <w:r w:rsidR="00EE5136">
        <w:rPr>
          <w:lang w:val="en-US"/>
        </w:rPr>
        <w:t xml:space="preserve">” REAP working paper 042 </w:t>
      </w:r>
    </w:p>
    <w:p w:rsidR="003A27EA" w:rsidRPr="00534E27" w:rsidRDefault="003A27EA" w:rsidP="006B70F5">
      <w:pPr>
        <w:autoSpaceDE w:val="0"/>
        <w:autoSpaceDN w:val="0"/>
        <w:adjustRightInd w:val="0"/>
        <w:spacing w:before="0" w:after="240"/>
        <w:rPr>
          <w:lang w:val="en-US"/>
        </w:rPr>
      </w:pPr>
      <w:r w:rsidRPr="00534E27">
        <w:rPr>
          <w:lang w:val="en-US"/>
        </w:rPr>
        <w:t xml:space="preserve">Davis, S. and </w:t>
      </w:r>
      <w:proofErr w:type="spellStart"/>
      <w:r w:rsidRPr="00534E27">
        <w:rPr>
          <w:lang w:val="en-US"/>
        </w:rPr>
        <w:t>Haltiwanger</w:t>
      </w:r>
      <w:proofErr w:type="spellEnd"/>
      <w:r w:rsidRPr="00534E27">
        <w:rPr>
          <w:lang w:val="en-US"/>
        </w:rPr>
        <w:t xml:space="preserve">, </w:t>
      </w:r>
      <w:proofErr w:type="gramStart"/>
      <w:r w:rsidRPr="00534E27">
        <w:rPr>
          <w:lang w:val="en-US"/>
        </w:rPr>
        <w:t>J.</w:t>
      </w:r>
      <w:r w:rsidRPr="00534E27">
        <w:rPr>
          <w:rFonts w:eastAsia="cmr12"/>
          <w:lang w:val="en-US"/>
        </w:rPr>
        <w:t>.</w:t>
      </w:r>
      <w:proofErr w:type="gramEnd"/>
      <w:r w:rsidRPr="00534E27">
        <w:rPr>
          <w:rFonts w:eastAsia="cmr12"/>
          <w:lang w:val="en-US"/>
        </w:rPr>
        <w:t xml:space="preserve"> </w:t>
      </w:r>
      <w:r w:rsidRPr="00534E27">
        <w:rPr>
          <w:rFonts w:eastAsia="cmr12"/>
          <w:i/>
          <w:iCs/>
          <w:lang w:val="en-US"/>
        </w:rPr>
        <w:t>Gross job flows</w:t>
      </w:r>
      <w:r w:rsidRPr="00534E27">
        <w:rPr>
          <w:rFonts w:eastAsia="cmr12"/>
          <w:lang w:val="en-US"/>
        </w:rPr>
        <w:t xml:space="preserve">, volume 3B of </w:t>
      </w:r>
      <w:r w:rsidRPr="00534E27">
        <w:rPr>
          <w:rFonts w:eastAsia="cmr12"/>
          <w:i/>
          <w:iCs/>
          <w:lang w:val="en-US"/>
        </w:rPr>
        <w:t>Handbook of Labor Economics</w:t>
      </w:r>
      <w:r w:rsidRPr="00534E27">
        <w:rPr>
          <w:rFonts w:eastAsia="cmr12"/>
          <w:lang w:val="en-US"/>
        </w:rPr>
        <w:t xml:space="preserve">. </w:t>
      </w:r>
      <w:proofErr w:type="gramStart"/>
      <w:r w:rsidRPr="00534E27">
        <w:rPr>
          <w:rFonts w:eastAsia="cmr12"/>
          <w:lang w:val="en-US"/>
        </w:rPr>
        <w:t xml:space="preserve">North  </w:t>
      </w:r>
      <w:r w:rsidRPr="00534E27">
        <w:rPr>
          <w:rFonts w:eastAsia="cmr12"/>
          <w:lang w:val="en-US"/>
        </w:rPr>
        <w:tab/>
        <w:t>Holland, 1999.</w:t>
      </w:r>
      <w:proofErr w:type="gramEnd"/>
      <w:r w:rsidRPr="00534E27">
        <w:rPr>
          <w:rFonts w:eastAsia="cmr12"/>
          <w:lang w:val="en-US"/>
        </w:rPr>
        <w:t xml:space="preserve"> </w:t>
      </w:r>
      <w:proofErr w:type="gramStart"/>
      <w:r w:rsidRPr="00534E27">
        <w:rPr>
          <w:rFonts w:eastAsia="cmr12"/>
          <w:lang w:val="en-US"/>
        </w:rPr>
        <w:t>editors</w:t>
      </w:r>
      <w:proofErr w:type="gramEnd"/>
      <w:r w:rsidRPr="00534E27">
        <w:rPr>
          <w:rFonts w:eastAsia="cmr12"/>
          <w:lang w:val="en-US"/>
        </w:rPr>
        <w:t xml:space="preserve"> </w:t>
      </w:r>
      <w:proofErr w:type="spellStart"/>
      <w:r w:rsidRPr="00534E27">
        <w:rPr>
          <w:rFonts w:eastAsia="cmr12"/>
          <w:lang w:val="en-US"/>
        </w:rPr>
        <w:t>Orley</w:t>
      </w:r>
      <w:proofErr w:type="spellEnd"/>
      <w:r w:rsidRPr="00534E27">
        <w:rPr>
          <w:rFonts w:eastAsia="cmr12"/>
          <w:lang w:val="en-US"/>
        </w:rPr>
        <w:t xml:space="preserve"> </w:t>
      </w:r>
      <w:proofErr w:type="spellStart"/>
      <w:r w:rsidRPr="00534E27">
        <w:rPr>
          <w:rFonts w:eastAsia="cmr12"/>
          <w:lang w:val="en-US"/>
        </w:rPr>
        <w:t>Ashenfelter</w:t>
      </w:r>
      <w:proofErr w:type="spellEnd"/>
      <w:r w:rsidRPr="00534E27">
        <w:rPr>
          <w:rFonts w:eastAsia="cmr12"/>
          <w:lang w:val="en-US"/>
        </w:rPr>
        <w:t xml:space="preserve"> and David Card.</w:t>
      </w:r>
    </w:p>
    <w:p w:rsidR="007E0DE8" w:rsidRPr="00534E27" w:rsidRDefault="007E0DE8">
      <w:pPr>
        <w:ind w:left="709" w:hanging="720"/>
        <w:rPr>
          <w:rStyle w:val="Bibliogrphy"/>
          <w:lang w:val="en-US"/>
        </w:rPr>
      </w:pPr>
      <w:r w:rsidRPr="00534E27">
        <w:rPr>
          <w:lang w:val="en-US"/>
        </w:rPr>
        <w:t>Farber, H. (1998), “Mobility and Stability: The Dynamics of Job Change in Labor Markets”, Working Paper, Industrial Relations Section 400, Princeton.</w:t>
      </w:r>
      <w:r w:rsidRPr="00534E27">
        <w:rPr>
          <w:rStyle w:val="Bibliogrphy"/>
          <w:lang w:val="en-US"/>
        </w:rPr>
        <w:t xml:space="preserve"> </w:t>
      </w:r>
    </w:p>
    <w:p w:rsidR="007E0DE8" w:rsidRPr="00534E27" w:rsidRDefault="007E0DE8">
      <w:pPr>
        <w:ind w:left="709" w:hanging="720"/>
        <w:rPr>
          <w:rStyle w:val="Bibliogrphy"/>
        </w:rPr>
      </w:pPr>
      <w:proofErr w:type="gramStart"/>
      <w:r w:rsidRPr="00534E27">
        <w:rPr>
          <w:rStyle w:val="Bibliogrphy"/>
        </w:rPr>
        <w:t>Flori,</w:t>
      </w:r>
      <w:proofErr w:type="gramEnd"/>
      <w:r w:rsidRPr="00534E27">
        <w:rPr>
          <w:rStyle w:val="Bibliogrphy"/>
        </w:rPr>
        <w:t xml:space="preserve"> P. (2004), “Desemprego de Jovens no Brasil”, </w:t>
      </w:r>
      <w:proofErr w:type="spellStart"/>
      <w:r w:rsidRPr="00534E27">
        <w:rPr>
          <w:rStyle w:val="Bibliogrphy"/>
        </w:rPr>
        <w:t>mimeo</w:t>
      </w:r>
      <w:proofErr w:type="spellEnd"/>
      <w:r w:rsidRPr="00534E27">
        <w:rPr>
          <w:rStyle w:val="Bibliogrphy"/>
        </w:rPr>
        <w:t>.</w:t>
      </w:r>
    </w:p>
    <w:p w:rsidR="00A12CCD" w:rsidRPr="00534E27" w:rsidRDefault="00A12CCD">
      <w:pPr>
        <w:ind w:left="709" w:hanging="720"/>
        <w:rPr>
          <w:rStyle w:val="Bibliogrphy"/>
          <w:lang w:val="en-US"/>
        </w:rPr>
      </w:pPr>
      <w:r w:rsidRPr="00534E27">
        <w:rPr>
          <w:rStyle w:val="Bibliogrphy"/>
          <w:lang w:val="en-US"/>
        </w:rPr>
        <w:t xml:space="preserve">Freeman, R. and Wise, </w:t>
      </w:r>
      <w:r w:rsidR="00191C50" w:rsidRPr="00534E27">
        <w:rPr>
          <w:rStyle w:val="Bibliogrphy"/>
          <w:lang w:val="en-US"/>
        </w:rPr>
        <w:t xml:space="preserve">D. </w:t>
      </w:r>
      <w:r w:rsidRPr="00534E27">
        <w:rPr>
          <w:rStyle w:val="Bibliogrphy"/>
          <w:lang w:val="en-US"/>
        </w:rPr>
        <w:t xml:space="preserve">(1982) </w:t>
      </w:r>
      <w:r w:rsidRPr="00534E27">
        <w:rPr>
          <w:rStyle w:val="Bibliogrphy"/>
          <w:u w:val="single"/>
          <w:lang w:val="en-US"/>
        </w:rPr>
        <w:t>The Youth Labor Market Problem: Its nature, causes and consequences</w:t>
      </w:r>
      <w:r w:rsidRPr="00534E27">
        <w:rPr>
          <w:rStyle w:val="Bibliogrphy"/>
          <w:lang w:val="en-US"/>
        </w:rPr>
        <w:t>. Chicago:</w:t>
      </w:r>
      <w:r w:rsidR="00570DED" w:rsidRPr="00534E27">
        <w:rPr>
          <w:rStyle w:val="Bibliogrphy"/>
          <w:lang w:val="en-US"/>
        </w:rPr>
        <w:t xml:space="preserve"> NBER and</w:t>
      </w:r>
      <w:r w:rsidRPr="00534E27">
        <w:rPr>
          <w:rStyle w:val="Bibliogrphy"/>
          <w:lang w:val="en-US"/>
        </w:rPr>
        <w:t xml:space="preserve"> University of Chicago Press.</w:t>
      </w:r>
    </w:p>
    <w:p w:rsidR="00064061" w:rsidRPr="00534E27" w:rsidRDefault="00064061">
      <w:pPr>
        <w:ind w:left="709" w:hanging="720"/>
        <w:rPr>
          <w:rStyle w:val="Bibliogrphy"/>
          <w:lang w:val="en-US"/>
        </w:rPr>
      </w:pPr>
      <w:proofErr w:type="gramStart"/>
      <w:r w:rsidRPr="00534E27">
        <w:rPr>
          <w:rStyle w:val="Bibliogrphy"/>
          <w:lang w:val="en-US"/>
        </w:rPr>
        <w:t xml:space="preserve">ILO (2012) </w:t>
      </w:r>
      <w:r w:rsidRPr="00534E27">
        <w:rPr>
          <w:rStyle w:val="Bibliogrphy"/>
          <w:u w:val="single"/>
          <w:lang w:val="en-US"/>
        </w:rPr>
        <w:t>Global Employment Trends for Youth 2012</w:t>
      </w:r>
      <w:r w:rsidRPr="00534E27">
        <w:rPr>
          <w:rStyle w:val="Bibliogrphy"/>
          <w:lang w:val="en-US"/>
        </w:rPr>
        <w:t>.</w:t>
      </w:r>
      <w:proofErr w:type="gramEnd"/>
      <w:r w:rsidRPr="00534E27">
        <w:rPr>
          <w:rStyle w:val="Bibliogrphy"/>
          <w:lang w:val="en-US"/>
        </w:rPr>
        <w:t xml:space="preserve"> ILO, Geneva.</w:t>
      </w:r>
    </w:p>
    <w:p w:rsidR="00A12CCD" w:rsidRPr="00534E27" w:rsidRDefault="00A12CCD" w:rsidP="00FC7FC9">
      <w:pPr>
        <w:spacing w:after="240"/>
        <w:ind w:left="709" w:hanging="720"/>
        <w:rPr>
          <w:rStyle w:val="Bibliogrphy"/>
          <w:lang w:val="en-US"/>
        </w:rPr>
      </w:pPr>
      <w:proofErr w:type="gramStart"/>
      <w:r w:rsidRPr="00534E27">
        <w:rPr>
          <w:rStyle w:val="Bibliogrphy"/>
          <w:lang w:val="en-US"/>
        </w:rPr>
        <w:t xml:space="preserve">Leighton, L. and Mincer, J. (1982) “Labor Turnover and Youth Unemployment”, in Freeman and Wise (editors) </w:t>
      </w:r>
      <w:r w:rsidRPr="00534E27">
        <w:rPr>
          <w:rStyle w:val="Bibliogrphy"/>
          <w:u w:val="single"/>
          <w:lang w:val="en-US"/>
        </w:rPr>
        <w:t>The Youth Labor Market Problem: Its nature, causes and consequences</w:t>
      </w:r>
      <w:r w:rsidRPr="00534E27">
        <w:rPr>
          <w:rStyle w:val="Bibliogrphy"/>
          <w:lang w:val="en-US"/>
        </w:rPr>
        <w:t>.</w:t>
      </w:r>
      <w:proofErr w:type="gramEnd"/>
      <w:r w:rsidRPr="00534E27">
        <w:rPr>
          <w:rStyle w:val="Bibliogrphy"/>
          <w:lang w:val="en-US"/>
        </w:rPr>
        <w:t xml:space="preserve"> Chicago: University of Chicago Press</w:t>
      </w:r>
    </w:p>
    <w:p w:rsidR="0005591A" w:rsidRPr="00534E27" w:rsidRDefault="0005591A" w:rsidP="0005591A">
      <w:pPr>
        <w:spacing w:before="0" w:after="240"/>
        <w:ind w:left="709" w:hanging="720"/>
        <w:rPr>
          <w:rStyle w:val="Bibliogrphy"/>
          <w:lang w:val="en-US"/>
        </w:rPr>
      </w:pPr>
      <w:r w:rsidRPr="00534E27">
        <w:rPr>
          <w:rStyle w:val="Bibliogrphy"/>
          <w:lang w:val="en-US"/>
        </w:rPr>
        <w:lastRenderedPageBreak/>
        <w:t xml:space="preserve">Maloney, W. (1999) “Does Informality Imply Segmentation in Urban Labor Markets? Evidence from </w:t>
      </w:r>
      <w:proofErr w:type="spellStart"/>
      <w:r w:rsidRPr="00534E27">
        <w:rPr>
          <w:rStyle w:val="Bibliogrphy"/>
          <w:lang w:val="en-US"/>
        </w:rPr>
        <w:t>Sectoral</w:t>
      </w:r>
      <w:proofErr w:type="spellEnd"/>
      <w:r w:rsidRPr="00534E27">
        <w:rPr>
          <w:rStyle w:val="Bibliogrphy"/>
          <w:lang w:val="en-US"/>
        </w:rPr>
        <w:t xml:space="preserve"> Transitions in Mexico”, The World Bank Economic Review 13(2): 275-302.</w:t>
      </w:r>
    </w:p>
    <w:p w:rsidR="00AF46CB" w:rsidRPr="00534E27" w:rsidRDefault="00AF46CB" w:rsidP="0005591A">
      <w:pPr>
        <w:spacing w:before="0" w:after="240"/>
        <w:ind w:left="709" w:hanging="720"/>
        <w:rPr>
          <w:rStyle w:val="Bibliogrphy"/>
          <w:lang w:val="en-US"/>
        </w:rPr>
      </w:pPr>
      <w:r w:rsidRPr="00534E27">
        <w:rPr>
          <w:rStyle w:val="Bibliogrphy"/>
          <w:lang w:val="en-US"/>
        </w:rPr>
        <w:t xml:space="preserve">OECD (2010) “Off to a good start? Jobs for the Youth” available at: </w:t>
      </w:r>
      <w:hyperlink r:id="rId22" w:history="1">
        <w:r w:rsidR="00FC7FC9" w:rsidRPr="00534E27">
          <w:rPr>
            <w:rStyle w:val="Hyperlink"/>
            <w:rFonts w:ascii="Times New Roman" w:hAnsi="Times New Roman" w:cs="Times New Roman"/>
            <w:sz w:val="24"/>
            <w:szCs w:val="24"/>
            <w:lang w:val="en-US"/>
          </w:rPr>
          <w:t>http://www.oecd.org/els/emp/46717876.pdf</w:t>
        </w:r>
      </w:hyperlink>
    </w:p>
    <w:p w:rsidR="00FC7FC9" w:rsidRPr="00534E27" w:rsidRDefault="00FC7FC9">
      <w:pPr>
        <w:ind w:left="709" w:hanging="720"/>
        <w:rPr>
          <w:rStyle w:val="Bibliogrphy"/>
          <w:lang w:val="en-US"/>
        </w:rPr>
      </w:pPr>
      <w:r w:rsidRPr="00534E27">
        <w:rPr>
          <w:rStyle w:val="Bibliogrphy"/>
          <w:lang w:val="en-US"/>
        </w:rPr>
        <w:t xml:space="preserve">O’Higgins (2001) </w:t>
      </w:r>
      <w:r w:rsidRPr="00534E27">
        <w:rPr>
          <w:rStyle w:val="Bibliogrphy"/>
          <w:u w:val="single"/>
          <w:lang w:val="en-US"/>
        </w:rPr>
        <w:t>Youth Unemployment and Employment Policies: a global perspective</w:t>
      </w:r>
      <w:r w:rsidRPr="00534E27">
        <w:rPr>
          <w:rStyle w:val="Bibliogrphy"/>
          <w:lang w:val="en-US"/>
        </w:rPr>
        <w:t>. ILO, Geneva.</w:t>
      </w:r>
    </w:p>
    <w:p w:rsidR="00FC7FC9" w:rsidRPr="00534E27" w:rsidRDefault="00FC7FC9">
      <w:pPr>
        <w:ind w:left="709" w:hanging="720"/>
        <w:rPr>
          <w:rStyle w:val="Bibliogrphy"/>
          <w:lang w:val="en-US"/>
        </w:rPr>
      </w:pPr>
      <w:proofErr w:type="gramStart"/>
      <w:r w:rsidRPr="00534E27">
        <w:rPr>
          <w:rStyle w:val="Bibliogrphy"/>
          <w:lang w:val="en-US"/>
        </w:rPr>
        <w:t>O’Higgins (2003) “Trends in the youth labor market in Developing and Transition Countries”, World Bank Social Protection Discussion Paper n.0321.</w:t>
      </w:r>
      <w:proofErr w:type="gramEnd"/>
    </w:p>
    <w:p w:rsidR="00FC7FC9" w:rsidRPr="00534E27" w:rsidRDefault="00FC7FC9">
      <w:pPr>
        <w:ind w:left="709" w:hanging="720"/>
        <w:rPr>
          <w:rStyle w:val="Bibliogrphy"/>
          <w:lang w:val="en-US"/>
        </w:rPr>
      </w:pPr>
      <w:r w:rsidRPr="00534E27">
        <w:rPr>
          <w:rStyle w:val="Bibliogrphy"/>
          <w:lang w:val="en-US"/>
        </w:rPr>
        <w:t>O’Higgins (2012) “This time it’s different?</w:t>
      </w:r>
      <w:r w:rsidR="00064061" w:rsidRPr="00534E27">
        <w:rPr>
          <w:rStyle w:val="Bibliogrphy"/>
          <w:lang w:val="en-US"/>
        </w:rPr>
        <w:t xml:space="preserve"> Youth labor markets during ‘The Great’ Recession”. </w:t>
      </w:r>
      <w:proofErr w:type="gramStart"/>
      <w:r w:rsidR="00064061" w:rsidRPr="00534E27">
        <w:rPr>
          <w:rStyle w:val="Bibliogrphy"/>
          <w:lang w:val="en-US"/>
        </w:rPr>
        <w:t>IZA Discussion Paper n. 6434.</w:t>
      </w:r>
      <w:proofErr w:type="gramEnd"/>
      <w:r w:rsidR="00064061" w:rsidRPr="00534E27">
        <w:rPr>
          <w:rStyle w:val="Bibliogrphy"/>
          <w:lang w:val="en-US"/>
        </w:rPr>
        <w:t xml:space="preserve"> </w:t>
      </w:r>
    </w:p>
    <w:p w:rsidR="00534E27" w:rsidRPr="00534E27" w:rsidRDefault="00534E27">
      <w:pPr>
        <w:ind w:left="709" w:hanging="720"/>
        <w:rPr>
          <w:rStyle w:val="Bibliogrphy"/>
          <w:lang w:val="en-US"/>
        </w:rPr>
      </w:pPr>
      <w:proofErr w:type="spellStart"/>
      <w:r w:rsidRPr="00534E27">
        <w:rPr>
          <w:rStyle w:val="Bibliogrphy"/>
          <w:lang w:val="en-US"/>
        </w:rPr>
        <w:t>Saavedra</w:t>
      </w:r>
      <w:proofErr w:type="spellEnd"/>
      <w:r w:rsidRPr="00534E27">
        <w:rPr>
          <w:rStyle w:val="Bibliogrphy"/>
          <w:lang w:val="en-US"/>
        </w:rPr>
        <w:t xml:space="preserve">, J. and Chong (1999) “Structural Reform, Institutions and Earnings: Evidence from the Formal and Informal Sectors in Urban Peru”, </w:t>
      </w:r>
      <w:proofErr w:type="gramStart"/>
      <w:r w:rsidRPr="00534E27">
        <w:rPr>
          <w:rStyle w:val="Bibliogrphy"/>
          <w:lang w:val="en-US"/>
        </w:rPr>
        <w:t>The</w:t>
      </w:r>
      <w:proofErr w:type="gramEnd"/>
      <w:r w:rsidRPr="00534E27">
        <w:rPr>
          <w:rStyle w:val="Bibliogrphy"/>
          <w:lang w:val="en-US"/>
        </w:rPr>
        <w:t xml:space="preserve"> Journal of Development Studies 35(4): </w:t>
      </w:r>
      <w:r w:rsidRPr="00534E27">
        <w:rPr>
          <w:rStyle w:val="medium-font"/>
          <w:color w:val="333333"/>
          <w:lang w:val="en-US"/>
        </w:rPr>
        <w:t>95-116</w:t>
      </w:r>
    </w:p>
    <w:sectPr w:rsidR="00534E27" w:rsidRPr="00534E27" w:rsidSect="00815211">
      <w:headerReference w:type="default" r:id="rId23"/>
      <w:footerReference w:type="default" r:id="rId2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163" w:rsidRDefault="00823163">
      <w:r>
        <w:separator/>
      </w:r>
    </w:p>
  </w:endnote>
  <w:endnote w:type="continuationSeparator" w:id="0">
    <w:p w:rsidR="00823163" w:rsidRDefault="00823163">
      <w:r>
        <w:continuationSeparator/>
      </w:r>
    </w:p>
  </w:endnote>
  <w:endnote w:type="continuationNotice" w:id="1">
    <w:p w:rsidR="00823163" w:rsidRDefault="0082316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cmr12">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FF5" w:rsidRDefault="007C3FF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163" w:rsidRDefault="00823163">
      <w:r>
        <w:separator/>
      </w:r>
    </w:p>
  </w:footnote>
  <w:footnote w:type="continuationSeparator" w:id="0">
    <w:p w:rsidR="00823163" w:rsidRDefault="00823163">
      <w:r>
        <w:continuationSeparator/>
      </w:r>
    </w:p>
  </w:footnote>
  <w:footnote w:type="continuationNotice" w:id="1">
    <w:p w:rsidR="00823163" w:rsidRDefault="00823163">
      <w:pPr>
        <w:spacing w:before="0"/>
      </w:pPr>
    </w:p>
  </w:footnote>
  <w:footnote w:id="2">
    <w:p w:rsidR="00D852E0" w:rsidRPr="00D852E0" w:rsidRDefault="00D852E0">
      <w:pPr>
        <w:pStyle w:val="Textodenotaderodap"/>
        <w:rPr>
          <w:lang w:val="en-US"/>
        </w:rPr>
      </w:pPr>
      <w:r w:rsidRPr="00D852E0">
        <w:rPr>
          <w:rStyle w:val="Refdenotaderodap"/>
        </w:rPr>
        <w:sym w:font="Symbol" w:char="F0A8"/>
      </w:r>
      <w:r w:rsidRPr="00D852E0">
        <w:rPr>
          <w:lang w:val="en-US"/>
        </w:rPr>
        <w:t xml:space="preserve"> </w:t>
      </w:r>
      <w:r>
        <w:rPr>
          <w:lang w:val="en-US"/>
        </w:rPr>
        <w:t xml:space="preserve">This paper </w:t>
      </w:r>
      <w:r w:rsidR="008E010D">
        <w:rPr>
          <w:lang w:val="en-US"/>
        </w:rPr>
        <w:t>is part of a joint CEDLAS-IDRC project on “</w:t>
      </w:r>
      <w:proofErr w:type="spellStart"/>
      <w:r w:rsidR="008E010D">
        <w:rPr>
          <w:lang w:val="en-US"/>
        </w:rPr>
        <w:t>Labour</w:t>
      </w:r>
      <w:proofErr w:type="spellEnd"/>
      <w:r w:rsidR="008E010D">
        <w:rPr>
          <w:lang w:val="en-US"/>
        </w:rPr>
        <w:t xml:space="preserve"> Demand and Job Creation: Empirical Evidence from Firms in Latin American”. The authors acknowledge not only the financial support provided by the project but also the useful comments received in early stages of the paper by project coordinators and by Gary Fields who contributed to the project as a technical advisor. We also acknowledge the research assistance provided by Katcha Poloponsky and Alessandra Brito. </w:t>
      </w:r>
    </w:p>
  </w:footnote>
  <w:footnote w:id="3">
    <w:p w:rsidR="007C3FF5" w:rsidRPr="007772CE" w:rsidRDefault="007C3FF5">
      <w:pPr>
        <w:pStyle w:val="Textodenotaderodap"/>
        <w:rPr>
          <w:lang w:val="en-US"/>
        </w:rPr>
      </w:pPr>
      <w:r>
        <w:rPr>
          <w:rStyle w:val="Refdenotaderodap"/>
        </w:rPr>
        <w:footnoteRef/>
      </w:r>
      <w:r w:rsidRPr="007772CE">
        <w:rPr>
          <w:lang w:val="en-US"/>
        </w:rPr>
        <w:t xml:space="preserve"> </w:t>
      </w:r>
      <w:r>
        <w:rPr>
          <w:lang w:val="en-US"/>
        </w:rPr>
        <w:t>A notable exception is the more prominent role of supply factors in developing countries.</w:t>
      </w:r>
    </w:p>
  </w:footnote>
  <w:footnote w:id="4">
    <w:p w:rsidR="007C3FF5" w:rsidRPr="00FB4EA6" w:rsidRDefault="007C3FF5">
      <w:pPr>
        <w:pStyle w:val="Textodenotaderodap"/>
        <w:rPr>
          <w:lang w:val="en-US"/>
        </w:rPr>
      </w:pPr>
      <w:r>
        <w:rPr>
          <w:rStyle w:val="Refdenotaderodap"/>
        </w:rPr>
        <w:footnoteRef/>
      </w:r>
      <w:r w:rsidRPr="00FB4EA6">
        <w:rPr>
          <w:lang w:val="en-US"/>
        </w:rPr>
        <w:t xml:space="preserve"> </w:t>
      </w:r>
      <w:r w:rsidRPr="001B5AB8">
        <w:rPr>
          <w:lang w:val="en-US"/>
        </w:rPr>
        <w:t xml:space="preserve">O’Higgins (2001) </w:t>
      </w:r>
      <w:r>
        <w:rPr>
          <w:lang w:val="en-US"/>
        </w:rPr>
        <w:t xml:space="preserve">also argues that analyses based on unemployment are </w:t>
      </w:r>
      <w:r w:rsidRPr="001B5AB8">
        <w:rPr>
          <w:lang w:val="en-US"/>
        </w:rPr>
        <w:t xml:space="preserve">particularly problematic for early ages due to </w:t>
      </w:r>
      <w:r>
        <w:rPr>
          <w:lang w:val="en-US"/>
        </w:rPr>
        <w:t xml:space="preserve">the </w:t>
      </w:r>
      <w:r w:rsidRPr="001B5AB8">
        <w:rPr>
          <w:lang w:val="en-US"/>
        </w:rPr>
        <w:t xml:space="preserve">ambiguous attachment </w:t>
      </w:r>
      <w:r>
        <w:rPr>
          <w:lang w:val="en-US"/>
        </w:rPr>
        <w:t>of youths to</w:t>
      </w:r>
      <w:r w:rsidRPr="001B5AB8">
        <w:rPr>
          <w:lang w:val="en-US"/>
        </w:rPr>
        <w:t xml:space="preserve"> the education system. Increases in unemployment induced by higher enrolment in schooling could be viewed as a good outcome instead of </w:t>
      </w:r>
      <w:r>
        <w:rPr>
          <w:lang w:val="en-US"/>
        </w:rPr>
        <w:t xml:space="preserve">a </w:t>
      </w:r>
      <w:r w:rsidRPr="001B5AB8">
        <w:rPr>
          <w:lang w:val="en-US"/>
        </w:rPr>
        <w:t>bad one.</w:t>
      </w:r>
    </w:p>
  </w:footnote>
  <w:footnote w:id="5">
    <w:p w:rsidR="007C3FF5" w:rsidRPr="00E07D9C" w:rsidRDefault="007C3FF5">
      <w:pPr>
        <w:pStyle w:val="Textodenotaderodap"/>
        <w:rPr>
          <w:lang w:val="en-US"/>
        </w:rPr>
      </w:pPr>
      <w:r>
        <w:rPr>
          <w:rStyle w:val="Refdenotaderodap"/>
        </w:rPr>
        <w:footnoteRef/>
      </w:r>
      <w:r w:rsidRPr="00E07D9C">
        <w:rPr>
          <w:lang w:val="en-US"/>
        </w:rPr>
        <w:t xml:space="preserve"> </w:t>
      </w:r>
      <w:r>
        <w:rPr>
          <w:lang w:val="en-US"/>
        </w:rPr>
        <w:t>PNAD is a repeated cross-section with annual frequency, has national coverage and is conducted by the IBGE, the Brazilian Census Bureau.</w:t>
      </w:r>
    </w:p>
  </w:footnote>
  <w:footnote w:id="6">
    <w:p w:rsidR="007C3FF5" w:rsidRPr="00625472" w:rsidRDefault="007C3FF5" w:rsidP="00EC2793">
      <w:pPr>
        <w:pStyle w:val="Textodenotaderodap"/>
        <w:rPr>
          <w:lang w:val="en-US"/>
        </w:rPr>
      </w:pPr>
      <w:r w:rsidRPr="00625472">
        <w:rPr>
          <w:rStyle w:val="Refdenotaderodap"/>
        </w:rPr>
        <w:footnoteRef/>
      </w:r>
      <w:r w:rsidRPr="00625472">
        <w:rPr>
          <w:lang w:val="en-US"/>
        </w:rPr>
        <w:t xml:space="preserve"> The absence of tax evaders from the sample prevents us from claiming that the data include information on all Brazilian establishments. Rather, RAIS gathers information o</w:t>
      </w:r>
      <w:r>
        <w:rPr>
          <w:lang w:val="en-US"/>
        </w:rPr>
        <w:t>n what is typically called the “</w:t>
      </w:r>
      <w:r w:rsidRPr="00625472">
        <w:rPr>
          <w:lang w:val="en-US"/>
        </w:rPr>
        <w:t>formal sector</w:t>
      </w:r>
      <w:r>
        <w:rPr>
          <w:lang w:val="en-US"/>
        </w:rPr>
        <w:t>”</w:t>
      </w:r>
      <w:r w:rsidRPr="00625472">
        <w:rPr>
          <w:lang w:val="en-US"/>
        </w:rPr>
        <w:t>.</w:t>
      </w:r>
    </w:p>
  </w:footnote>
  <w:footnote w:id="7">
    <w:p w:rsidR="007C3FF5" w:rsidRPr="00625472" w:rsidRDefault="007C3FF5" w:rsidP="00EC2793">
      <w:pPr>
        <w:pStyle w:val="TextosemFormatao"/>
        <w:jc w:val="both"/>
        <w:rPr>
          <w:sz w:val="20"/>
          <w:szCs w:val="20"/>
          <w:lang w:val="en-US"/>
        </w:rPr>
      </w:pPr>
      <w:r w:rsidRPr="00625472">
        <w:rPr>
          <w:rStyle w:val="Refdenotaderodap"/>
          <w:sz w:val="20"/>
          <w:szCs w:val="20"/>
        </w:rPr>
        <w:footnoteRef/>
      </w:r>
      <w:r w:rsidRPr="00625472">
        <w:rPr>
          <w:sz w:val="20"/>
          <w:szCs w:val="20"/>
          <w:lang w:val="en-US"/>
        </w:rPr>
        <w:t xml:space="preserve"> </w:t>
      </w:r>
      <w:r w:rsidRPr="00625472">
        <w:rPr>
          <w:rFonts w:ascii="Times New Roman" w:hAnsi="Times New Roman" w:cs="Times New Roman"/>
          <w:sz w:val="20"/>
          <w:szCs w:val="20"/>
          <w:lang w:val="en-US"/>
        </w:rPr>
        <w:t xml:space="preserve">See </w:t>
      </w:r>
      <w:proofErr w:type="spellStart"/>
      <w:r w:rsidRPr="00625472">
        <w:rPr>
          <w:rFonts w:ascii="Times New Roman" w:hAnsi="Times New Roman" w:cs="Times New Roman"/>
          <w:sz w:val="20"/>
          <w:szCs w:val="20"/>
          <w:lang w:val="en-US"/>
        </w:rPr>
        <w:t>Abowd</w:t>
      </w:r>
      <w:proofErr w:type="spellEnd"/>
      <w:r>
        <w:rPr>
          <w:rFonts w:ascii="Times New Roman" w:hAnsi="Times New Roman" w:cs="Times New Roman"/>
          <w:sz w:val="20"/>
          <w:szCs w:val="20"/>
          <w:lang w:val="en-US"/>
        </w:rPr>
        <w:t xml:space="preserve"> and </w:t>
      </w:r>
      <w:proofErr w:type="spellStart"/>
      <w:r w:rsidRPr="00625472">
        <w:rPr>
          <w:rFonts w:ascii="Times New Roman" w:hAnsi="Times New Roman" w:cs="Times New Roman"/>
          <w:sz w:val="20"/>
          <w:szCs w:val="20"/>
          <w:lang w:val="en-US"/>
        </w:rPr>
        <w:t>Kramarz</w:t>
      </w:r>
      <w:proofErr w:type="spellEnd"/>
      <w:r>
        <w:rPr>
          <w:rFonts w:ascii="Times New Roman" w:hAnsi="Times New Roman" w:cs="Times New Roman"/>
          <w:sz w:val="20"/>
          <w:szCs w:val="20"/>
          <w:lang w:val="en-US"/>
        </w:rPr>
        <w:t xml:space="preserve"> (19</w:t>
      </w:r>
      <w:r w:rsidRPr="00625472">
        <w:rPr>
          <w:rFonts w:ascii="Times New Roman" w:hAnsi="Times New Roman" w:cs="Times New Roman"/>
          <w:sz w:val="20"/>
          <w:szCs w:val="20"/>
          <w:lang w:val="en-US"/>
        </w:rPr>
        <w:t>99</w:t>
      </w:r>
      <w:r>
        <w:rPr>
          <w:rFonts w:ascii="Times New Roman" w:hAnsi="Times New Roman" w:cs="Times New Roman"/>
          <w:sz w:val="20"/>
          <w:szCs w:val="20"/>
          <w:lang w:val="en-US"/>
        </w:rPr>
        <w:t>)</w:t>
      </w:r>
      <w:r w:rsidRPr="00625472">
        <w:rPr>
          <w:rFonts w:ascii="Times New Roman" w:hAnsi="Times New Roman" w:cs="Times New Roman"/>
          <w:sz w:val="20"/>
          <w:szCs w:val="20"/>
          <w:lang w:val="en-US"/>
        </w:rPr>
        <w:t xml:space="preserve"> for a description of the countries where this</w:t>
      </w:r>
      <w:r>
        <w:rPr>
          <w:rFonts w:ascii="Times New Roman" w:hAnsi="Times New Roman" w:cs="Times New Roman"/>
          <w:sz w:val="20"/>
          <w:szCs w:val="20"/>
          <w:lang w:val="en-US"/>
        </w:rPr>
        <w:t xml:space="preserve"> </w:t>
      </w:r>
      <w:r w:rsidRPr="00625472">
        <w:rPr>
          <w:rFonts w:ascii="Times New Roman" w:hAnsi="Times New Roman" w:cs="Times New Roman"/>
          <w:sz w:val="20"/>
          <w:szCs w:val="20"/>
          <w:lang w:val="en-US"/>
        </w:rPr>
        <w:t>type of database was available and for information on how labor economics research has</w:t>
      </w:r>
      <w:r>
        <w:rPr>
          <w:rFonts w:ascii="Times New Roman" w:hAnsi="Times New Roman" w:cs="Times New Roman"/>
          <w:sz w:val="20"/>
          <w:szCs w:val="20"/>
          <w:lang w:val="en-US"/>
        </w:rPr>
        <w:t xml:space="preserve"> </w:t>
      </w:r>
      <w:r w:rsidRPr="00625472">
        <w:rPr>
          <w:rFonts w:ascii="Times New Roman" w:hAnsi="Times New Roman" w:cs="Times New Roman"/>
          <w:sz w:val="20"/>
          <w:szCs w:val="20"/>
          <w:lang w:val="en-US"/>
        </w:rPr>
        <w:t>benefited from such databases.</w:t>
      </w:r>
    </w:p>
  </w:footnote>
  <w:footnote w:id="8">
    <w:p w:rsidR="007C3FF5" w:rsidRPr="00D22827" w:rsidRDefault="007C3FF5" w:rsidP="001225C0">
      <w:pPr>
        <w:pStyle w:val="Textodenotaderodap"/>
        <w:rPr>
          <w:lang w:val="en-US"/>
        </w:rPr>
      </w:pPr>
      <w:r>
        <w:rPr>
          <w:rStyle w:val="Refdenotaderodap"/>
        </w:rPr>
        <w:footnoteRef/>
      </w:r>
      <w:r w:rsidRPr="00D22827">
        <w:rPr>
          <w:lang w:val="en-US"/>
        </w:rPr>
        <w:t xml:space="preserve"> </w:t>
      </w:r>
      <w:proofErr w:type="gramStart"/>
      <w:r>
        <w:rPr>
          <w:lang w:val="en-US"/>
        </w:rPr>
        <w:t>Abstracting from inconsistencies in information provided by firms on stocks and flows.</w:t>
      </w:r>
      <w:proofErr w:type="gramEnd"/>
    </w:p>
  </w:footnote>
  <w:footnote w:id="9">
    <w:p w:rsidR="007C3FF5" w:rsidRPr="005A3E18" w:rsidRDefault="007C3FF5">
      <w:pPr>
        <w:pStyle w:val="Textodenotaderodap"/>
        <w:rPr>
          <w:lang w:val="en-US"/>
        </w:rPr>
      </w:pPr>
      <w:r>
        <w:rPr>
          <w:rStyle w:val="Refdenotaderodap"/>
        </w:rPr>
        <w:footnoteRef/>
      </w:r>
      <w:r w:rsidRPr="005A3E18">
        <w:rPr>
          <w:lang w:val="en-US"/>
        </w:rPr>
        <w:t xml:space="preserve"> </w:t>
      </w:r>
      <w:r>
        <w:rPr>
          <w:lang w:val="en-US"/>
        </w:rPr>
        <w:t>It is interesting to note that this pattern of formal-sector employment growth based on RAIS is consistent with the patterns for the unemployment rate based on PNAD and described in section 2.2.</w:t>
      </w:r>
    </w:p>
  </w:footnote>
  <w:footnote w:id="10">
    <w:p w:rsidR="007C3FF5" w:rsidRPr="005A3E18" w:rsidRDefault="007C3FF5">
      <w:pPr>
        <w:pStyle w:val="Textodenotaderodap"/>
        <w:rPr>
          <w:lang w:val="en-US"/>
        </w:rPr>
      </w:pPr>
      <w:r>
        <w:rPr>
          <w:rStyle w:val="Refdenotaderodap"/>
        </w:rPr>
        <w:footnoteRef/>
      </w:r>
      <w:r w:rsidRPr="005A3E18">
        <w:rPr>
          <w:lang w:val="en-US"/>
        </w:rPr>
        <w:t xml:space="preserve"> Table 9 in </w:t>
      </w:r>
      <w:r w:rsidRPr="00584640">
        <w:rPr>
          <w:lang w:val="en-US"/>
        </w:rPr>
        <w:t>Davis</w:t>
      </w:r>
      <w:r>
        <w:rPr>
          <w:lang w:val="en-US"/>
        </w:rPr>
        <w:t xml:space="preserve"> and </w:t>
      </w:r>
      <w:proofErr w:type="spellStart"/>
      <w:r>
        <w:rPr>
          <w:lang w:val="en-US"/>
        </w:rPr>
        <w:t>Haltiwanger</w:t>
      </w:r>
      <w:proofErr w:type="spellEnd"/>
      <w:r w:rsidRPr="00584640">
        <w:rPr>
          <w:lang w:val="en-US"/>
        </w:rPr>
        <w:t xml:space="preserve"> </w:t>
      </w:r>
      <w:r>
        <w:rPr>
          <w:lang w:val="en-US"/>
        </w:rPr>
        <w:t>(</w:t>
      </w:r>
      <w:r w:rsidRPr="00584640">
        <w:rPr>
          <w:lang w:val="en-US"/>
        </w:rPr>
        <w:t>1999</w:t>
      </w:r>
      <w:r>
        <w:rPr>
          <w:lang w:val="en-US"/>
        </w:rPr>
        <w:t>) reports hiring and separation rates between 20% and 30% for developed countries.</w:t>
      </w:r>
    </w:p>
  </w:footnote>
  <w:footnote w:id="11">
    <w:p w:rsidR="007C3FF5" w:rsidRPr="00192B49" w:rsidRDefault="007C3FF5" w:rsidP="005C0D39">
      <w:pPr>
        <w:pStyle w:val="Textodenotaderodap"/>
        <w:rPr>
          <w:lang w:val="en-US"/>
        </w:rPr>
      </w:pPr>
      <w:r>
        <w:rPr>
          <w:rStyle w:val="Refdenotaderodap"/>
        </w:rPr>
        <w:footnoteRef/>
      </w:r>
      <w:r w:rsidRPr="00192B49">
        <w:rPr>
          <w:lang w:val="en-US"/>
        </w:rPr>
        <w:t xml:space="preserve"> </w:t>
      </w:r>
      <w:r>
        <w:rPr>
          <w:lang w:val="en-US"/>
        </w:rPr>
        <w:t xml:space="preserve">See Corseuil </w:t>
      </w:r>
      <w:r w:rsidRPr="00F64781">
        <w:rPr>
          <w:i/>
          <w:lang w:val="en-US"/>
        </w:rPr>
        <w:t>et al.</w:t>
      </w:r>
      <w:r>
        <w:rPr>
          <w:lang w:val="en-US"/>
        </w:rPr>
        <w:t xml:space="preserve"> (2013) for an evaluation of the effects of the apprentice</w:t>
      </w:r>
      <w:r w:rsidR="00F64781">
        <w:rPr>
          <w:lang w:val="en-US"/>
        </w:rPr>
        <w:t>ship</w:t>
      </w:r>
      <w:r>
        <w:rPr>
          <w:lang w:val="en-US"/>
        </w:rPr>
        <w:t xml:space="preserve"> program on youth labor market outcomes.</w:t>
      </w:r>
    </w:p>
  </w:footnote>
  <w:footnote w:id="12">
    <w:p w:rsidR="007C3FF5" w:rsidRPr="00091336" w:rsidRDefault="007C3FF5" w:rsidP="005C0D39">
      <w:pPr>
        <w:pStyle w:val="Textodenotaderodap"/>
        <w:rPr>
          <w:lang w:val="en-US"/>
        </w:rPr>
      </w:pPr>
      <w:r>
        <w:rPr>
          <w:rStyle w:val="Refdenotaderodap"/>
        </w:rPr>
        <w:footnoteRef/>
      </w:r>
      <w:r w:rsidRPr="00091336">
        <w:rPr>
          <w:lang w:val="en-US"/>
        </w:rPr>
        <w:t xml:space="preserve"> </w:t>
      </w:r>
      <w:r>
        <w:rPr>
          <w:lang w:val="en-US"/>
        </w:rPr>
        <w:t>Since 1994, cooperatives have been exempted from paying many types of labor taxes. Many argue that this exemption has incentivized the creation of several “fake” cooperatives, i.e. coops that are hired by other firms only because they can “formally” hire workers without paying taxes. While we can identify cooperatives in the data, we cannot distinguish whether or not they behave in this counterfeit way.</w:t>
      </w:r>
    </w:p>
  </w:footnote>
  <w:footnote w:id="13">
    <w:p w:rsidR="007C3FF5" w:rsidRPr="00ED0A2F" w:rsidRDefault="007C3FF5" w:rsidP="00AF4511">
      <w:pPr>
        <w:pStyle w:val="Textodenotaderodap"/>
        <w:rPr>
          <w:lang w:val="en-US"/>
        </w:rPr>
      </w:pPr>
      <w:r>
        <w:rPr>
          <w:rStyle w:val="Refdenotaderodap"/>
        </w:rPr>
        <w:footnoteRef/>
      </w:r>
      <w:r w:rsidRPr="00ED0A2F">
        <w:rPr>
          <w:lang w:val="en-US"/>
        </w:rPr>
        <w:t xml:space="preserve"> </w:t>
      </w:r>
      <w:r>
        <w:rPr>
          <w:lang w:val="en-US"/>
        </w:rPr>
        <w:t xml:space="preserve">One cited example is the situation where the employee negotiates a fake dismissal with the employer so that the worker can receive the unemployment benefit for some months and </w:t>
      </w:r>
      <w:proofErr w:type="gramStart"/>
      <w:r>
        <w:rPr>
          <w:lang w:val="en-US"/>
        </w:rPr>
        <w:t>access</w:t>
      </w:r>
      <w:proofErr w:type="gramEnd"/>
      <w:r>
        <w:rPr>
          <w:lang w:val="en-US"/>
        </w:rPr>
        <w:t xml:space="preserve"> the accumulated amount in his/her individual </w:t>
      </w:r>
      <w:r w:rsidR="008C3983">
        <w:rPr>
          <w:lang w:val="en-US"/>
        </w:rPr>
        <w:t xml:space="preserve">severance payment </w:t>
      </w:r>
      <w:r>
        <w:rPr>
          <w:lang w:val="en-US"/>
        </w:rPr>
        <w:t xml:space="preserve">account </w:t>
      </w:r>
      <w:r w:rsidR="008C3983">
        <w:rPr>
          <w:lang w:val="en-US"/>
        </w:rPr>
        <w:t>(</w:t>
      </w:r>
      <w:r>
        <w:rPr>
          <w:lang w:val="en-US"/>
        </w:rPr>
        <w:t>FGTS</w:t>
      </w:r>
      <w:r w:rsidR="008C3983">
        <w:rPr>
          <w:lang w:val="en-US"/>
        </w:rPr>
        <w:t>)</w:t>
      </w:r>
      <w:r>
        <w:rPr>
          <w:lang w:val="en-US"/>
        </w:rPr>
        <w:t>. See Camargo (1996) for a discussion of the (negative) incentives embodied in the Brazilian labor legislation.</w:t>
      </w:r>
    </w:p>
  </w:footnote>
  <w:footnote w:id="14">
    <w:p w:rsidR="007C3FF5" w:rsidRPr="00FF1531" w:rsidRDefault="007C3FF5" w:rsidP="00AF4511">
      <w:pPr>
        <w:pStyle w:val="Textodenotaderodap"/>
        <w:rPr>
          <w:lang w:val="en-US"/>
        </w:rPr>
      </w:pPr>
      <w:r>
        <w:rPr>
          <w:rStyle w:val="Refdenotaderodap"/>
        </w:rPr>
        <w:footnoteRef/>
      </w:r>
      <w:r w:rsidRPr="00FF1531">
        <w:rPr>
          <w:lang w:val="en-US"/>
        </w:rPr>
        <w:t xml:space="preserve"> </w:t>
      </w:r>
      <w:r>
        <w:rPr>
          <w:lang w:val="en-US"/>
        </w:rPr>
        <w:t>Looking at the correlation coefficient between the share of lay-offs for each group and the GDP growth rate between 1996 and 2010, the estimate for youths is -0.57 and -0.52 for adults. The test of equality of these two estimates cannot be statistically rejected, though.</w:t>
      </w:r>
    </w:p>
  </w:footnote>
  <w:footnote w:id="15">
    <w:p w:rsidR="007C3FF5" w:rsidRPr="00954B69" w:rsidRDefault="007C3FF5" w:rsidP="00902D5F">
      <w:pPr>
        <w:pStyle w:val="Textodenotaderodap"/>
        <w:rPr>
          <w:lang w:val="en-US"/>
        </w:rPr>
      </w:pPr>
      <w:r>
        <w:rPr>
          <w:rStyle w:val="Refdenotaderodap"/>
        </w:rPr>
        <w:footnoteRef/>
      </w:r>
      <w:r w:rsidRPr="00954B69">
        <w:rPr>
          <w:lang w:val="en-US"/>
        </w:rPr>
        <w:t xml:space="preserve"> </w:t>
      </w:r>
      <w:r>
        <w:rPr>
          <w:lang w:val="en-US"/>
        </w:rPr>
        <w:t xml:space="preserve">The inclusion of the ratio </w:t>
      </w:r>
      <w:proofErr w:type="spellStart"/>
      <w:r>
        <w:rPr>
          <w:i/>
          <w:lang w:val="en-US"/>
        </w:rPr>
        <w:t>x</w:t>
      </w:r>
      <w:r w:rsidRPr="002244E6">
        <w:rPr>
          <w:i/>
          <w:vertAlign w:val="subscript"/>
          <w:lang w:val="en-US"/>
        </w:rPr>
        <w:t>a</w:t>
      </w:r>
      <w:proofErr w:type="spellEnd"/>
      <w:r w:rsidRPr="002244E6">
        <w:rPr>
          <w:i/>
          <w:vertAlign w:val="subscript"/>
          <w:lang w:val="en-US"/>
        </w:rPr>
        <w:t>’</w:t>
      </w:r>
      <w:proofErr w:type="gramStart"/>
      <w:r w:rsidRPr="002244E6">
        <w:rPr>
          <w:i/>
          <w:vertAlign w:val="subscript"/>
          <w:lang w:val="en-US"/>
        </w:rPr>
        <w:t>,a</w:t>
      </w:r>
      <w:proofErr w:type="gramEnd"/>
      <w:r w:rsidRPr="002244E6">
        <w:rPr>
          <w:lang w:val="en-US"/>
        </w:rPr>
        <w:t xml:space="preserve"> </w:t>
      </w:r>
      <w:r>
        <w:rPr>
          <w:lang w:val="en-US"/>
        </w:rPr>
        <w:t>is for compatibility with the denominator of the other rates.</w:t>
      </w:r>
    </w:p>
  </w:footnote>
  <w:footnote w:id="16">
    <w:p w:rsidR="00867AD0" w:rsidRPr="00867AD0" w:rsidRDefault="00867AD0">
      <w:pPr>
        <w:pStyle w:val="Textodenotaderodap"/>
        <w:rPr>
          <w:lang w:val="en-US"/>
        </w:rPr>
      </w:pPr>
      <w:r>
        <w:rPr>
          <w:rStyle w:val="Refdenotaderodap"/>
        </w:rPr>
        <w:footnoteRef/>
      </w:r>
      <w:r w:rsidRPr="00867AD0">
        <w:rPr>
          <w:lang w:val="en-US"/>
        </w:rPr>
        <w:t xml:space="preserve"> </w:t>
      </w:r>
      <w:r>
        <w:rPr>
          <w:lang w:val="en-US"/>
        </w:rPr>
        <w:t>It may be easily seen that S</w:t>
      </w:r>
      <w:r>
        <w:rPr>
          <w:vertAlign w:val="subscript"/>
          <w:lang w:val="en-US"/>
        </w:rPr>
        <w:t>at</w:t>
      </w:r>
      <w:r>
        <w:rPr>
          <w:lang w:val="en-US"/>
        </w:rPr>
        <w:t>=</w:t>
      </w:r>
      <w:proofErr w:type="spellStart"/>
      <w:r>
        <w:rPr>
          <w:lang w:val="en-US"/>
        </w:rPr>
        <w:t>W</w:t>
      </w:r>
      <w:r>
        <w:rPr>
          <w:vertAlign w:val="subscript"/>
          <w:lang w:val="en-US"/>
        </w:rPr>
        <w:t>at</w:t>
      </w:r>
      <w:r>
        <w:rPr>
          <w:lang w:val="en-US"/>
        </w:rPr>
        <w:t>+B</w:t>
      </w:r>
      <w:r>
        <w:rPr>
          <w:vertAlign w:val="subscript"/>
          <w:lang w:val="en-US"/>
        </w:rPr>
        <w:t>at</w:t>
      </w:r>
      <w:r>
        <w:rPr>
          <w:lang w:val="en-US"/>
        </w:rPr>
        <w:t>+EJD</w:t>
      </w:r>
      <w:r>
        <w:rPr>
          <w:vertAlign w:val="subscript"/>
          <w:lang w:val="en-US"/>
        </w:rPr>
        <w:t>at</w:t>
      </w:r>
      <w:proofErr w:type="spellEnd"/>
      <w:r>
        <w:rPr>
          <w:lang w:val="en-US"/>
        </w:rPr>
        <w:t>.</w:t>
      </w:r>
    </w:p>
  </w:footnote>
  <w:footnote w:id="17">
    <w:p w:rsidR="007C3FF5" w:rsidRPr="006C3E6D" w:rsidRDefault="007C3FF5" w:rsidP="007701D2">
      <w:pPr>
        <w:pStyle w:val="Textodenotaderodap"/>
        <w:rPr>
          <w:lang w:val="en-US"/>
        </w:rPr>
      </w:pPr>
      <w:r>
        <w:rPr>
          <w:rStyle w:val="Refdenotaderodap"/>
        </w:rPr>
        <w:footnoteRef/>
      </w:r>
      <w:r w:rsidRPr="006C3E6D">
        <w:rPr>
          <w:lang w:val="en-US"/>
        </w:rPr>
        <w:t xml:space="preserve"> </w:t>
      </w:r>
      <w:r>
        <w:rPr>
          <w:lang w:val="en-US"/>
        </w:rPr>
        <w:t>We use three age categories (14-17; 18-23 and 24-60), seven firm size categories (</w:t>
      </w:r>
      <w:r w:rsidRPr="00807EB5">
        <w:rPr>
          <w:lang w:val="en-US"/>
        </w:rPr>
        <w:t>0</w:t>
      </w:r>
      <w:r>
        <w:rPr>
          <w:lang w:val="en-US"/>
        </w:rPr>
        <w:t>-</w:t>
      </w:r>
      <w:r w:rsidRPr="00807EB5">
        <w:rPr>
          <w:lang w:val="en-US"/>
        </w:rPr>
        <w:t>4</w:t>
      </w:r>
      <w:r>
        <w:rPr>
          <w:lang w:val="en-US"/>
        </w:rPr>
        <w:t xml:space="preserve">; </w:t>
      </w:r>
      <w:r w:rsidRPr="00807EB5">
        <w:rPr>
          <w:lang w:val="en-US"/>
        </w:rPr>
        <w:t>5</w:t>
      </w:r>
      <w:r>
        <w:rPr>
          <w:lang w:val="en-US"/>
        </w:rPr>
        <w:t>-</w:t>
      </w:r>
      <w:r w:rsidRPr="00807EB5">
        <w:rPr>
          <w:lang w:val="en-US"/>
        </w:rPr>
        <w:t>9</w:t>
      </w:r>
      <w:r>
        <w:rPr>
          <w:lang w:val="en-US"/>
        </w:rPr>
        <w:t xml:space="preserve">; </w:t>
      </w:r>
      <w:r w:rsidRPr="00807EB5">
        <w:rPr>
          <w:lang w:val="en-US"/>
        </w:rPr>
        <w:t>10</w:t>
      </w:r>
      <w:r>
        <w:rPr>
          <w:lang w:val="en-US"/>
        </w:rPr>
        <w:t>-</w:t>
      </w:r>
      <w:r w:rsidRPr="00807EB5">
        <w:rPr>
          <w:lang w:val="en-US"/>
        </w:rPr>
        <w:t>19</w:t>
      </w:r>
      <w:r>
        <w:rPr>
          <w:lang w:val="en-US"/>
        </w:rPr>
        <w:t xml:space="preserve">; </w:t>
      </w:r>
      <w:r w:rsidRPr="00807EB5">
        <w:rPr>
          <w:lang w:val="en-US"/>
        </w:rPr>
        <w:t>20</w:t>
      </w:r>
      <w:r>
        <w:rPr>
          <w:lang w:val="en-US"/>
        </w:rPr>
        <w:t>-</w:t>
      </w:r>
      <w:r w:rsidRPr="00807EB5">
        <w:rPr>
          <w:lang w:val="en-US"/>
        </w:rPr>
        <w:t>49</w:t>
      </w:r>
      <w:r>
        <w:rPr>
          <w:lang w:val="en-US"/>
        </w:rPr>
        <w:t xml:space="preserve">; </w:t>
      </w:r>
      <w:r w:rsidRPr="00807EB5">
        <w:rPr>
          <w:lang w:val="en-US"/>
        </w:rPr>
        <w:t>50</w:t>
      </w:r>
      <w:r>
        <w:rPr>
          <w:lang w:val="en-US"/>
        </w:rPr>
        <w:t>-</w:t>
      </w:r>
      <w:r w:rsidRPr="00807EB5">
        <w:rPr>
          <w:lang w:val="en-US"/>
        </w:rPr>
        <w:t>99</w:t>
      </w:r>
      <w:r>
        <w:rPr>
          <w:lang w:val="en-US"/>
        </w:rPr>
        <w:t xml:space="preserve">; </w:t>
      </w:r>
      <w:r w:rsidRPr="00807EB5">
        <w:rPr>
          <w:lang w:val="en-US"/>
        </w:rPr>
        <w:t>100</w:t>
      </w:r>
      <w:r>
        <w:rPr>
          <w:lang w:val="en-US"/>
        </w:rPr>
        <w:t>-</w:t>
      </w:r>
      <w:r w:rsidRPr="00807EB5">
        <w:rPr>
          <w:lang w:val="en-US"/>
        </w:rPr>
        <w:t>249</w:t>
      </w:r>
      <w:r>
        <w:rPr>
          <w:lang w:val="en-US"/>
        </w:rPr>
        <w:t xml:space="preserve">; </w:t>
      </w:r>
      <w:r w:rsidRPr="00807EB5">
        <w:rPr>
          <w:lang w:val="en-US"/>
        </w:rPr>
        <w:t>250</w:t>
      </w:r>
      <w:r>
        <w:rPr>
          <w:lang w:val="en-US"/>
        </w:rPr>
        <w:t>-</w:t>
      </w:r>
      <w:r w:rsidRPr="00807EB5">
        <w:rPr>
          <w:lang w:val="en-US"/>
        </w:rPr>
        <w:t>499</w:t>
      </w:r>
      <w:r>
        <w:rPr>
          <w:lang w:val="en-US"/>
        </w:rPr>
        <w:t xml:space="preserve">; and </w:t>
      </w:r>
      <w:r w:rsidRPr="00807EB5">
        <w:rPr>
          <w:lang w:val="en-US"/>
        </w:rPr>
        <w:t>500</w:t>
      </w:r>
      <w:r>
        <w:rPr>
          <w:lang w:val="en-US"/>
        </w:rPr>
        <w:t xml:space="preserve"> and more workers), two firm age categories (up to 4 years of age; five years or more) and twenty five industry classifications (roughly following national accounts, </w:t>
      </w:r>
      <w:proofErr w:type="spellStart"/>
      <w:r>
        <w:rPr>
          <w:i/>
          <w:lang w:val="en-US"/>
        </w:rPr>
        <w:t>subsetor</w:t>
      </w:r>
      <w:proofErr w:type="spellEnd"/>
      <w:r>
        <w:rPr>
          <w:i/>
          <w:lang w:val="en-US"/>
        </w:rPr>
        <w:t xml:space="preserve"> </w:t>
      </w:r>
      <w:proofErr w:type="spellStart"/>
      <w:r>
        <w:rPr>
          <w:i/>
          <w:lang w:val="en-US"/>
        </w:rPr>
        <w:t>ibge</w:t>
      </w:r>
      <w:proofErr w:type="spellEnd"/>
      <w:r>
        <w:rPr>
          <w:lang w:val="en-US"/>
        </w:rPr>
        <w:t>). The industry classification is coarse due to the many classification changes over the period.</w:t>
      </w:r>
    </w:p>
  </w:footnote>
  <w:footnote w:id="18">
    <w:p w:rsidR="007C3FF5" w:rsidRPr="00357491" w:rsidRDefault="007C3FF5" w:rsidP="00611BEE">
      <w:pPr>
        <w:pStyle w:val="Textodenotaderodap"/>
        <w:rPr>
          <w:lang w:val="en-US"/>
        </w:rPr>
      </w:pPr>
      <w:r>
        <w:rPr>
          <w:rStyle w:val="Refdenotaderodap"/>
        </w:rPr>
        <w:footnoteRef/>
      </w:r>
      <w:r w:rsidRPr="00357491">
        <w:rPr>
          <w:lang w:val="en-US"/>
        </w:rPr>
        <w:t xml:space="preserve"> </w:t>
      </w:r>
      <w:r>
        <w:rPr>
          <w:lang w:val="en-US"/>
        </w:rPr>
        <w:t>See, for instance, Farber (1998) and references therein.</w:t>
      </w:r>
    </w:p>
  </w:footnote>
  <w:footnote w:id="19">
    <w:p w:rsidR="007C3FF5" w:rsidRPr="004C2F70" w:rsidRDefault="007C3FF5" w:rsidP="00CF61EA">
      <w:pPr>
        <w:pStyle w:val="Textodenotaderodap"/>
        <w:rPr>
          <w:lang w:val="en-US"/>
        </w:rPr>
      </w:pPr>
      <w:r>
        <w:rPr>
          <w:rStyle w:val="Refdenotaderodap"/>
        </w:rPr>
        <w:footnoteRef/>
      </w:r>
      <w:r w:rsidRPr="004C2F70">
        <w:rPr>
          <w:lang w:val="en-US"/>
        </w:rPr>
        <w:t xml:space="preserve"> </w:t>
      </w:r>
      <w:r>
        <w:rPr>
          <w:lang w:val="en-US"/>
        </w:rPr>
        <w:t>Another important departure from duration models with longitudinal data is that we do not have multiple spells of the same individuals, but rather multiple workers of the same establishment, where each worker contributes with a different spell within the same establishment.</w:t>
      </w:r>
    </w:p>
  </w:footnote>
  <w:footnote w:id="20">
    <w:p w:rsidR="007C3FF5" w:rsidRPr="002E002D" w:rsidRDefault="007C3FF5" w:rsidP="00CF61EA">
      <w:pPr>
        <w:pStyle w:val="Textodenotaderodap"/>
        <w:rPr>
          <w:lang w:val="en-US"/>
        </w:rPr>
      </w:pPr>
      <w:r>
        <w:rPr>
          <w:rStyle w:val="Refdenotaderodap"/>
        </w:rPr>
        <w:footnoteRef/>
      </w:r>
      <w:r w:rsidRPr="002E002D">
        <w:rPr>
          <w:lang w:val="en-US"/>
        </w:rPr>
        <w:t xml:space="preserve"> </w:t>
      </w:r>
      <w:r>
        <w:rPr>
          <w:lang w:val="en-US"/>
        </w:rPr>
        <w:t xml:space="preserve">Allowing such possible correlation is not a standard procedure in the economics literature using hazard models. These non-observable specificities, when incorporated, are usually treated as independent from all observable covariates. </w:t>
      </w:r>
    </w:p>
  </w:footnote>
  <w:footnote w:id="21">
    <w:p w:rsidR="007C3FF5" w:rsidRPr="00863671" w:rsidRDefault="007C3FF5" w:rsidP="00CF61EA">
      <w:pPr>
        <w:pStyle w:val="Textodenotaderodap"/>
        <w:spacing w:before="0"/>
        <w:rPr>
          <w:lang w:val="en-US"/>
        </w:rPr>
      </w:pPr>
      <w:r w:rsidRPr="00863671">
        <w:rPr>
          <w:rStyle w:val="Refdenotaderodap"/>
        </w:rPr>
        <w:footnoteRef/>
      </w:r>
      <w:r w:rsidRPr="00863671">
        <w:rPr>
          <w:lang w:val="en-US"/>
        </w:rPr>
        <w:t xml:space="preserve"> As a matter of fact</w:t>
      </w:r>
      <w:r>
        <w:rPr>
          <w:lang w:val="en-US"/>
        </w:rPr>
        <w:t>,</w:t>
      </w:r>
      <w:r w:rsidRPr="00863671">
        <w:rPr>
          <w:lang w:val="en-US"/>
        </w:rPr>
        <w:t xml:space="preserve"> the following model specification with an additive fixed</w:t>
      </w:r>
      <w:r>
        <w:rPr>
          <w:lang w:val="en-US"/>
        </w:rPr>
        <w:t>-</w:t>
      </w:r>
      <w:r w:rsidRPr="00863671">
        <w:rPr>
          <w:lang w:val="en-US"/>
        </w:rPr>
        <w:t>effect component</w:t>
      </w:r>
      <w:r>
        <w:rPr>
          <w:lang w:val="en-US"/>
        </w:rPr>
        <w:t>, analogous to conventional regression models using panel data,</w:t>
      </w:r>
      <w:r w:rsidRPr="00863671">
        <w:rPr>
          <w:lang w:val="en-US"/>
        </w:rPr>
        <w:t xml:space="preserve"> is a special case of our model:</w:t>
      </w:r>
    </w:p>
    <w:p w:rsidR="007C3FF5" w:rsidRPr="00863671" w:rsidRDefault="007C3FF5" w:rsidP="00CF61EA">
      <w:pPr>
        <w:spacing w:before="0" w:line="360" w:lineRule="auto"/>
        <w:rPr>
          <w:sz w:val="20"/>
          <w:szCs w:val="20"/>
          <w:lang w:val="en-US"/>
        </w:rPr>
      </w:pPr>
      <w:proofErr w:type="spellStart"/>
      <w:proofErr w:type="gramStart"/>
      <w:r w:rsidRPr="00863671">
        <w:rPr>
          <w:sz w:val="20"/>
          <w:szCs w:val="20"/>
          <w:lang w:val="en-US"/>
        </w:rPr>
        <w:t>h</w:t>
      </w:r>
      <w:r w:rsidRPr="00863671">
        <w:rPr>
          <w:sz w:val="20"/>
          <w:szCs w:val="20"/>
          <w:vertAlign w:val="subscript"/>
          <w:lang w:val="en-US"/>
        </w:rPr>
        <w:t>ij</w:t>
      </w:r>
      <w:proofErr w:type="spellEnd"/>
      <w:r w:rsidRPr="00863671">
        <w:rPr>
          <w:sz w:val="20"/>
          <w:szCs w:val="20"/>
          <w:lang w:val="en-US"/>
        </w:rPr>
        <w:t>(</w:t>
      </w:r>
      <w:proofErr w:type="gramEnd"/>
      <w:r w:rsidRPr="00863671">
        <w:rPr>
          <w:sz w:val="20"/>
          <w:szCs w:val="20"/>
          <w:lang w:val="en-US"/>
        </w:rPr>
        <w:t xml:space="preserve">t) = </w:t>
      </w:r>
      <w:r w:rsidRPr="00863671">
        <w:rPr>
          <w:sz w:val="20"/>
          <w:szCs w:val="20"/>
        </w:rPr>
        <w:t>α</w:t>
      </w:r>
      <w:r w:rsidRPr="00863671">
        <w:rPr>
          <w:sz w:val="20"/>
          <w:szCs w:val="20"/>
          <w:vertAlign w:val="subscript"/>
          <w:lang w:val="en-US"/>
        </w:rPr>
        <w:t>j</w:t>
      </w:r>
      <w:r w:rsidRPr="00863671">
        <w:rPr>
          <w:sz w:val="20"/>
          <w:szCs w:val="20"/>
          <w:lang w:val="en-US"/>
        </w:rPr>
        <w:t xml:space="preserve"> + </w:t>
      </w:r>
      <w:proofErr w:type="spellStart"/>
      <w:r w:rsidRPr="00863671">
        <w:rPr>
          <w:sz w:val="20"/>
          <w:szCs w:val="20"/>
          <w:lang w:val="en-US"/>
        </w:rPr>
        <w:t>δ.D</w:t>
      </w:r>
      <w:r w:rsidRPr="00833FA1">
        <w:rPr>
          <w:sz w:val="20"/>
          <w:szCs w:val="20"/>
          <w:vertAlign w:val="subscript"/>
          <w:lang w:val="en-US"/>
        </w:rPr>
        <w:t>ij</w:t>
      </w:r>
      <w:proofErr w:type="spellEnd"/>
      <w:r w:rsidRPr="00863671">
        <w:rPr>
          <w:sz w:val="20"/>
          <w:szCs w:val="20"/>
          <w:lang w:val="en-US"/>
        </w:rPr>
        <w:t xml:space="preserve"> + </w:t>
      </w:r>
      <w:r w:rsidRPr="00863671">
        <w:rPr>
          <w:sz w:val="20"/>
          <w:szCs w:val="20"/>
        </w:rPr>
        <w:t>β</w:t>
      </w:r>
      <w:r w:rsidRPr="00863671">
        <w:rPr>
          <w:sz w:val="20"/>
          <w:szCs w:val="20"/>
          <w:lang w:val="en-US"/>
        </w:rPr>
        <w:t>.</w:t>
      </w:r>
      <w:proofErr w:type="spellStart"/>
      <w:r w:rsidRPr="00863671">
        <w:rPr>
          <w:sz w:val="20"/>
          <w:szCs w:val="20"/>
          <w:lang w:val="en-US"/>
        </w:rPr>
        <w:t>X</w:t>
      </w:r>
      <w:r w:rsidRPr="00863671">
        <w:rPr>
          <w:sz w:val="20"/>
          <w:szCs w:val="20"/>
          <w:vertAlign w:val="subscript"/>
          <w:lang w:val="en-US"/>
        </w:rPr>
        <w:t>ij</w:t>
      </w:r>
      <w:proofErr w:type="spellEnd"/>
      <w:r w:rsidRPr="00863671">
        <w:rPr>
          <w:sz w:val="20"/>
          <w:szCs w:val="20"/>
          <w:lang w:val="en-US"/>
        </w:rPr>
        <w:t xml:space="preserve"> + </w:t>
      </w:r>
      <w:r w:rsidRPr="00863671">
        <w:rPr>
          <w:sz w:val="20"/>
          <w:szCs w:val="20"/>
        </w:rPr>
        <w:t>γ</w:t>
      </w:r>
      <w:r w:rsidRPr="00863671">
        <w:rPr>
          <w:sz w:val="20"/>
          <w:szCs w:val="20"/>
          <w:lang w:val="en-US"/>
        </w:rPr>
        <w:t>(t)</w:t>
      </w:r>
      <w:r>
        <w:rPr>
          <w:sz w:val="20"/>
          <w:szCs w:val="20"/>
          <w:lang w:val="en-US"/>
        </w:rPr>
        <w:t>.</w:t>
      </w:r>
    </w:p>
  </w:footnote>
  <w:footnote w:id="22">
    <w:p w:rsidR="007C3FF5" w:rsidRPr="004C2F70" w:rsidRDefault="007C3FF5" w:rsidP="00CF61EA">
      <w:pPr>
        <w:pStyle w:val="Textodenotaderodap"/>
        <w:rPr>
          <w:lang w:val="en-US"/>
        </w:rPr>
      </w:pPr>
      <w:r>
        <w:rPr>
          <w:rStyle w:val="Refdenotaderodap"/>
        </w:rPr>
        <w:footnoteRef/>
      </w:r>
      <w:r w:rsidRPr="004C2F70">
        <w:rPr>
          <w:lang w:val="en-US"/>
        </w:rPr>
        <w:t xml:space="preserve"> </w:t>
      </w:r>
      <w:r>
        <w:rPr>
          <w:lang w:val="en-US"/>
        </w:rPr>
        <w:t>Specifically, Chamberlain pointed that in the context of multiple spells for each individual the censoring time for the last spell depends on the lengths of the preceding spells. This would violate a necessary condition for the implementation partial likelihood methods. In addition to Allison’s downgrade in this issue, in our case there is no particular reason to believe that a worker’s employment spell will be influenced by the ones of his colleagues.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FF5" w:rsidRDefault="007C3FF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3B28"/>
    <w:multiLevelType w:val="hybridMultilevel"/>
    <w:tmpl w:val="5F6AD0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D507A18"/>
    <w:multiLevelType w:val="hybridMultilevel"/>
    <w:tmpl w:val="59BAC88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69176F4"/>
    <w:multiLevelType w:val="hybridMultilevel"/>
    <w:tmpl w:val="BB64A2B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275C2BA9"/>
    <w:multiLevelType w:val="hybridMultilevel"/>
    <w:tmpl w:val="398E4714"/>
    <w:lvl w:ilvl="0" w:tplc="434C47BC">
      <w:start w:val="1"/>
      <w:numFmt w:val="bullet"/>
      <w:lvlText w:val="•"/>
      <w:lvlJc w:val="left"/>
      <w:pPr>
        <w:tabs>
          <w:tab w:val="num" w:pos="720"/>
        </w:tabs>
        <w:ind w:left="720" w:hanging="360"/>
      </w:pPr>
      <w:rPr>
        <w:rFonts w:ascii="Arial" w:hAnsi="Arial" w:hint="default"/>
      </w:rPr>
    </w:lvl>
    <w:lvl w:ilvl="1" w:tplc="7E34F1D0" w:tentative="1">
      <w:start w:val="1"/>
      <w:numFmt w:val="bullet"/>
      <w:lvlText w:val="•"/>
      <w:lvlJc w:val="left"/>
      <w:pPr>
        <w:tabs>
          <w:tab w:val="num" w:pos="1440"/>
        </w:tabs>
        <w:ind w:left="1440" w:hanging="360"/>
      </w:pPr>
      <w:rPr>
        <w:rFonts w:ascii="Arial" w:hAnsi="Arial" w:hint="default"/>
      </w:rPr>
    </w:lvl>
    <w:lvl w:ilvl="2" w:tplc="5C5CD24E" w:tentative="1">
      <w:start w:val="1"/>
      <w:numFmt w:val="bullet"/>
      <w:lvlText w:val="•"/>
      <w:lvlJc w:val="left"/>
      <w:pPr>
        <w:tabs>
          <w:tab w:val="num" w:pos="2160"/>
        </w:tabs>
        <w:ind w:left="2160" w:hanging="360"/>
      </w:pPr>
      <w:rPr>
        <w:rFonts w:ascii="Arial" w:hAnsi="Arial" w:hint="default"/>
      </w:rPr>
    </w:lvl>
    <w:lvl w:ilvl="3" w:tplc="84E03000" w:tentative="1">
      <w:start w:val="1"/>
      <w:numFmt w:val="bullet"/>
      <w:lvlText w:val="•"/>
      <w:lvlJc w:val="left"/>
      <w:pPr>
        <w:tabs>
          <w:tab w:val="num" w:pos="2880"/>
        </w:tabs>
        <w:ind w:left="2880" w:hanging="360"/>
      </w:pPr>
      <w:rPr>
        <w:rFonts w:ascii="Arial" w:hAnsi="Arial" w:hint="default"/>
      </w:rPr>
    </w:lvl>
    <w:lvl w:ilvl="4" w:tplc="F75AD2AA" w:tentative="1">
      <w:start w:val="1"/>
      <w:numFmt w:val="bullet"/>
      <w:lvlText w:val="•"/>
      <w:lvlJc w:val="left"/>
      <w:pPr>
        <w:tabs>
          <w:tab w:val="num" w:pos="3600"/>
        </w:tabs>
        <w:ind w:left="3600" w:hanging="360"/>
      </w:pPr>
      <w:rPr>
        <w:rFonts w:ascii="Arial" w:hAnsi="Arial" w:hint="default"/>
      </w:rPr>
    </w:lvl>
    <w:lvl w:ilvl="5" w:tplc="62C4501C" w:tentative="1">
      <w:start w:val="1"/>
      <w:numFmt w:val="bullet"/>
      <w:lvlText w:val="•"/>
      <w:lvlJc w:val="left"/>
      <w:pPr>
        <w:tabs>
          <w:tab w:val="num" w:pos="4320"/>
        </w:tabs>
        <w:ind w:left="4320" w:hanging="360"/>
      </w:pPr>
      <w:rPr>
        <w:rFonts w:ascii="Arial" w:hAnsi="Arial" w:hint="default"/>
      </w:rPr>
    </w:lvl>
    <w:lvl w:ilvl="6" w:tplc="D512CBBE" w:tentative="1">
      <w:start w:val="1"/>
      <w:numFmt w:val="bullet"/>
      <w:lvlText w:val="•"/>
      <w:lvlJc w:val="left"/>
      <w:pPr>
        <w:tabs>
          <w:tab w:val="num" w:pos="5040"/>
        </w:tabs>
        <w:ind w:left="5040" w:hanging="360"/>
      </w:pPr>
      <w:rPr>
        <w:rFonts w:ascii="Arial" w:hAnsi="Arial" w:hint="default"/>
      </w:rPr>
    </w:lvl>
    <w:lvl w:ilvl="7" w:tplc="BFBAD10E" w:tentative="1">
      <w:start w:val="1"/>
      <w:numFmt w:val="bullet"/>
      <w:lvlText w:val="•"/>
      <w:lvlJc w:val="left"/>
      <w:pPr>
        <w:tabs>
          <w:tab w:val="num" w:pos="5760"/>
        </w:tabs>
        <w:ind w:left="5760" w:hanging="360"/>
      </w:pPr>
      <w:rPr>
        <w:rFonts w:ascii="Arial" w:hAnsi="Arial" w:hint="default"/>
      </w:rPr>
    </w:lvl>
    <w:lvl w:ilvl="8" w:tplc="90D81650" w:tentative="1">
      <w:start w:val="1"/>
      <w:numFmt w:val="bullet"/>
      <w:lvlText w:val="•"/>
      <w:lvlJc w:val="left"/>
      <w:pPr>
        <w:tabs>
          <w:tab w:val="num" w:pos="6480"/>
        </w:tabs>
        <w:ind w:left="6480" w:hanging="360"/>
      </w:pPr>
      <w:rPr>
        <w:rFonts w:ascii="Arial" w:hAnsi="Arial" w:hint="default"/>
      </w:rPr>
    </w:lvl>
  </w:abstractNum>
  <w:abstractNum w:abstractNumId="4">
    <w:nsid w:val="2F9C308A"/>
    <w:multiLevelType w:val="hybridMultilevel"/>
    <w:tmpl w:val="ACBC336C"/>
    <w:lvl w:ilvl="0" w:tplc="45A42ED2">
      <w:start w:val="1"/>
      <w:numFmt w:val="bullet"/>
      <w:lvlText w:val="•"/>
      <w:lvlJc w:val="left"/>
      <w:pPr>
        <w:tabs>
          <w:tab w:val="num" w:pos="720"/>
        </w:tabs>
        <w:ind w:left="720" w:hanging="360"/>
      </w:pPr>
      <w:rPr>
        <w:rFonts w:ascii="Arial" w:hAnsi="Arial" w:hint="default"/>
      </w:rPr>
    </w:lvl>
    <w:lvl w:ilvl="1" w:tplc="B088E210" w:tentative="1">
      <w:start w:val="1"/>
      <w:numFmt w:val="bullet"/>
      <w:lvlText w:val="•"/>
      <w:lvlJc w:val="left"/>
      <w:pPr>
        <w:tabs>
          <w:tab w:val="num" w:pos="1440"/>
        </w:tabs>
        <w:ind w:left="1440" w:hanging="360"/>
      </w:pPr>
      <w:rPr>
        <w:rFonts w:ascii="Arial" w:hAnsi="Arial" w:hint="default"/>
      </w:rPr>
    </w:lvl>
    <w:lvl w:ilvl="2" w:tplc="FAFC1BFE" w:tentative="1">
      <w:start w:val="1"/>
      <w:numFmt w:val="bullet"/>
      <w:lvlText w:val="•"/>
      <w:lvlJc w:val="left"/>
      <w:pPr>
        <w:tabs>
          <w:tab w:val="num" w:pos="2160"/>
        </w:tabs>
        <w:ind w:left="2160" w:hanging="360"/>
      </w:pPr>
      <w:rPr>
        <w:rFonts w:ascii="Arial" w:hAnsi="Arial" w:hint="default"/>
      </w:rPr>
    </w:lvl>
    <w:lvl w:ilvl="3" w:tplc="5AEA18CA" w:tentative="1">
      <w:start w:val="1"/>
      <w:numFmt w:val="bullet"/>
      <w:lvlText w:val="•"/>
      <w:lvlJc w:val="left"/>
      <w:pPr>
        <w:tabs>
          <w:tab w:val="num" w:pos="2880"/>
        </w:tabs>
        <w:ind w:left="2880" w:hanging="360"/>
      </w:pPr>
      <w:rPr>
        <w:rFonts w:ascii="Arial" w:hAnsi="Arial" w:hint="default"/>
      </w:rPr>
    </w:lvl>
    <w:lvl w:ilvl="4" w:tplc="72129922" w:tentative="1">
      <w:start w:val="1"/>
      <w:numFmt w:val="bullet"/>
      <w:lvlText w:val="•"/>
      <w:lvlJc w:val="left"/>
      <w:pPr>
        <w:tabs>
          <w:tab w:val="num" w:pos="3600"/>
        </w:tabs>
        <w:ind w:left="3600" w:hanging="360"/>
      </w:pPr>
      <w:rPr>
        <w:rFonts w:ascii="Arial" w:hAnsi="Arial" w:hint="default"/>
      </w:rPr>
    </w:lvl>
    <w:lvl w:ilvl="5" w:tplc="2304CBC4" w:tentative="1">
      <w:start w:val="1"/>
      <w:numFmt w:val="bullet"/>
      <w:lvlText w:val="•"/>
      <w:lvlJc w:val="left"/>
      <w:pPr>
        <w:tabs>
          <w:tab w:val="num" w:pos="4320"/>
        </w:tabs>
        <w:ind w:left="4320" w:hanging="360"/>
      </w:pPr>
      <w:rPr>
        <w:rFonts w:ascii="Arial" w:hAnsi="Arial" w:hint="default"/>
      </w:rPr>
    </w:lvl>
    <w:lvl w:ilvl="6" w:tplc="9620B2B6" w:tentative="1">
      <w:start w:val="1"/>
      <w:numFmt w:val="bullet"/>
      <w:lvlText w:val="•"/>
      <w:lvlJc w:val="left"/>
      <w:pPr>
        <w:tabs>
          <w:tab w:val="num" w:pos="5040"/>
        </w:tabs>
        <w:ind w:left="5040" w:hanging="360"/>
      </w:pPr>
      <w:rPr>
        <w:rFonts w:ascii="Arial" w:hAnsi="Arial" w:hint="default"/>
      </w:rPr>
    </w:lvl>
    <w:lvl w:ilvl="7" w:tplc="82B0FB2A" w:tentative="1">
      <w:start w:val="1"/>
      <w:numFmt w:val="bullet"/>
      <w:lvlText w:val="•"/>
      <w:lvlJc w:val="left"/>
      <w:pPr>
        <w:tabs>
          <w:tab w:val="num" w:pos="5760"/>
        </w:tabs>
        <w:ind w:left="5760" w:hanging="360"/>
      </w:pPr>
      <w:rPr>
        <w:rFonts w:ascii="Arial" w:hAnsi="Arial" w:hint="default"/>
      </w:rPr>
    </w:lvl>
    <w:lvl w:ilvl="8" w:tplc="378A1526" w:tentative="1">
      <w:start w:val="1"/>
      <w:numFmt w:val="bullet"/>
      <w:lvlText w:val="•"/>
      <w:lvlJc w:val="left"/>
      <w:pPr>
        <w:tabs>
          <w:tab w:val="num" w:pos="6480"/>
        </w:tabs>
        <w:ind w:left="6480" w:hanging="360"/>
      </w:pPr>
      <w:rPr>
        <w:rFonts w:ascii="Arial" w:hAnsi="Arial" w:hint="default"/>
      </w:rPr>
    </w:lvl>
  </w:abstractNum>
  <w:abstractNum w:abstractNumId="5">
    <w:nsid w:val="302E1FDB"/>
    <w:multiLevelType w:val="hybridMultilevel"/>
    <w:tmpl w:val="3E304CDE"/>
    <w:lvl w:ilvl="0" w:tplc="04160001">
      <w:start w:val="1"/>
      <w:numFmt w:val="bullet"/>
      <w:lvlText w:val=""/>
      <w:lvlJc w:val="left"/>
      <w:pPr>
        <w:ind w:left="1068" w:hanging="360"/>
      </w:pPr>
      <w:rPr>
        <w:rFonts w:ascii="Symbol" w:hAnsi="Symbol" w:cs="Symbol" w:hint="default"/>
      </w:rPr>
    </w:lvl>
    <w:lvl w:ilvl="1" w:tplc="04160003">
      <w:start w:val="1"/>
      <w:numFmt w:val="bullet"/>
      <w:lvlText w:val="o"/>
      <w:lvlJc w:val="left"/>
      <w:pPr>
        <w:ind w:left="1788" w:hanging="360"/>
      </w:pPr>
      <w:rPr>
        <w:rFonts w:ascii="Courier New" w:hAnsi="Courier New" w:cs="Courier New" w:hint="default"/>
      </w:rPr>
    </w:lvl>
    <w:lvl w:ilvl="2" w:tplc="04160005">
      <w:start w:val="1"/>
      <w:numFmt w:val="bullet"/>
      <w:lvlText w:val=""/>
      <w:lvlJc w:val="left"/>
      <w:pPr>
        <w:ind w:left="2508" w:hanging="360"/>
      </w:pPr>
      <w:rPr>
        <w:rFonts w:ascii="Wingdings" w:hAnsi="Wingdings" w:cs="Wingdings" w:hint="default"/>
      </w:rPr>
    </w:lvl>
    <w:lvl w:ilvl="3" w:tplc="04160001">
      <w:start w:val="1"/>
      <w:numFmt w:val="bullet"/>
      <w:lvlText w:val=""/>
      <w:lvlJc w:val="left"/>
      <w:pPr>
        <w:ind w:left="3228" w:hanging="360"/>
      </w:pPr>
      <w:rPr>
        <w:rFonts w:ascii="Symbol" w:hAnsi="Symbol" w:cs="Symbol" w:hint="default"/>
      </w:rPr>
    </w:lvl>
    <w:lvl w:ilvl="4" w:tplc="04160003">
      <w:start w:val="1"/>
      <w:numFmt w:val="bullet"/>
      <w:lvlText w:val="o"/>
      <w:lvlJc w:val="left"/>
      <w:pPr>
        <w:ind w:left="3948" w:hanging="360"/>
      </w:pPr>
      <w:rPr>
        <w:rFonts w:ascii="Courier New" w:hAnsi="Courier New" w:cs="Courier New" w:hint="default"/>
      </w:rPr>
    </w:lvl>
    <w:lvl w:ilvl="5" w:tplc="04160005">
      <w:start w:val="1"/>
      <w:numFmt w:val="bullet"/>
      <w:lvlText w:val=""/>
      <w:lvlJc w:val="left"/>
      <w:pPr>
        <w:ind w:left="4668" w:hanging="360"/>
      </w:pPr>
      <w:rPr>
        <w:rFonts w:ascii="Wingdings" w:hAnsi="Wingdings" w:cs="Wingdings" w:hint="default"/>
      </w:rPr>
    </w:lvl>
    <w:lvl w:ilvl="6" w:tplc="04160001">
      <w:start w:val="1"/>
      <w:numFmt w:val="bullet"/>
      <w:lvlText w:val=""/>
      <w:lvlJc w:val="left"/>
      <w:pPr>
        <w:ind w:left="5388" w:hanging="360"/>
      </w:pPr>
      <w:rPr>
        <w:rFonts w:ascii="Symbol" w:hAnsi="Symbol" w:cs="Symbol" w:hint="default"/>
      </w:rPr>
    </w:lvl>
    <w:lvl w:ilvl="7" w:tplc="04160003">
      <w:start w:val="1"/>
      <w:numFmt w:val="bullet"/>
      <w:lvlText w:val="o"/>
      <w:lvlJc w:val="left"/>
      <w:pPr>
        <w:ind w:left="6108" w:hanging="360"/>
      </w:pPr>
      <w:rPr>
        <w:rFonts w:ascii="Courier New" w:hAnsi="Courier New" w:cs="Courier New" w:hint="default"/>
      </w:rPr>
    </w:lvl>
    <w:lvl w:ilvl="8" w:tplc="04160005">
      <w:start w:val="1"/>
      <w:numFmt w:val="bullet"/>
      <w:lvlText w:val=""/>
      <w:lvlJc w:val="left"/>
      <w:pPr>
        <w:ind w:left="6828" w:hanging="360"/>
      </w:pPr>
      <w:rPr>
        <w:rFonts w:ascii="Wingdings" w:hAnsi="Wingdings" w:cs="Wingdings" w:hint="default"/>
      </w:rPr>
    </w:lvl>
  </w:abstractNum>
  <w:abstractNum w:abstractNumId="6">
    <w:nsid w:val="32367EAF"/>
    <w:multiLevelType w:val="hybridMultilevel"/>
    <w:tmpl w:val="5DACF0FE"/>
    <w:lvl w:ilvl="0" w:tplc="0416000F">
      <w:start w:val="1"/>
      <w:numFmt w:val="decimal"/>
      <w:lvlText w:val="%1."/>
      <w:lvlJc w:val="left"/>
      <w:pPr>
        <w:tabs>
          <w:tab w:val="num" w:pos="720"/>
        </w:tabs>
        <w:ind w:left="720" w:hanging="360"/>
      </w:pPr>
      <w:rPr>
        <w:rFonts w:ascii="Times New Roman" w:hAnsi="Times New Roman" w:cs="Times New Roman" w:hint="default"/>
      </w:rPr>
    </w:lvl>
    <w:lvl w:ilvl="1" w:tplc="04160019">
      <w:start w:val="1"/>
      <w:numFmt w:val="lowerLetter"/>
      <w:lvlText w:val="%2."/>
      <w:lvlJc w:val="left"/>
      <w:pPr>
        <w:tabs>
          <w:tab w:val="num" w:pos="1440"/>
        </w:tabs>
        <w:ind w:left="1440" w:hanging="360"/>
      </w:pPr>
      <w:rPr>
        <w:rFonts w:ascii="Times New Roman" w:hAnsi="Times New Roman" w:cs="Times New Roman"/>
      </w:rPr>
    </w:lvl>
    <w:lvl w:ilvl="2" w:tplc="0416001B">
      <w:start w:val="1"/>
      <w:numFmt w:val="lowerRoman"/>
      <w:lvlText w:val="%3."/>
      <w:lvlJc w:val="right"/>
      <w:pPr>
        <w:tabs>
          <w:tab w:val="num" w:pos="2160"/>
        </w:tabs>
        <w:ind w:left="2160" w:hanging="18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37B13D55"/>
    <w:multiLevelType w:val="hybridMultilevel"/>
    <w:tmpl w:val="71205442"/>
    <w:lvl w:ilvl="0" w:tplc="E4E85768">
      <w:start w:val="1"/>
      <w:numFmt w:val="bullet"/>
      <w:lvlText w:val="•"/>
      <w:lvlJc w:val="left"/>
      <w:pPr>
        <w:tabs>
          <w:tab w:val="num" w:pos="720"/>
        </w:tabs>
        <w:ind w:left="720" w:hanging="360"/>
      </w:pPr>
      <w:rPr>
        <w:rFonts w:ascii="Arial" w:hAnsi="Arial" w:hint="default"/>
      </w:rPr>
    </w:lvl>
    <w:lvl w:ilvl="1" w:tplc="AC744940" w:tentative="1">
      <w:start w:val="1"/>
      <w:numFmt w:val="bullet"/>
      <w:lvlText w:val="•"/>
      <w:lvlJc w:val="left"/>
      <w:pPr>
        <w:tabs>
          <w:tab w:val="num" w:pos="1440"/>
        </w:tabs>
        <w:ind w:left="1440" w:hanging="360"/>
      </w:pPr>
      <w:rPr>
        <w:rFonts w:ascii="Arial" w:hAnsi="Arial" w:hint="default"/>
      </w:rPr>
    </w:lvl>
    <w:lvl w:ilvl="2" w:tplc="73805AB2" w:tentative="1">
      <w:start w:val="1"/>
      <w:numFmt w:val="bullet"/>
      <w:lvlText w:val="•"/>
      <w:lvlJc w:val="left"/>
      <w:pPr>
        <w:tabs>
          <w:tab w:val="num" w:pos="2160"/>
        </w:tabs>
        <w:ind w:left="2160" w:hanging="360"/>
      </w:pPr>
      <w:rPr>
        <w:rFonts w:ascii="Arial" w:hAnsi="Arial" w:hint="default"/>
      </w:rPr>
    </w:lvl>
    <w:lvl w:ilvl="3" w:tplc="DA36D614" w:tentative="1">
      <w:start w:val="1"/>
      <w:numFmt w:val="bullet"/>
      <w:lvlText w:val="•"/>
      <w:lvlJc w:val="left"/>
      <w:pPr>
        <w:tabs>
          <w:tab w:val="num" w:pos="2880"/>
        </w:tabs>
        <w:ind w:left="2880" w:hanging="360"/>
      </w:pPr>
      <w:rPr>
        <w:rFonts w:ascii="Arial" w:hAnsi="Arial" w:hint="default"/>
      </w:rPr>
    </w:lvl>
    <w:lvl w:ilvl="4" w:tplc="7D468E52" w:tentative="1">
      <w:start w:val="1"/>
      <w:numFmt w:val="bullet"/>
      <w:lvlText w:val="•"/>
      <w:lvlJc w:val="left"/>
      <w:pPr>
        <w:tabs>
          <w:tab w:val="num" w:pos="3600"/>
        </w:tabs>
        <w:ind w:left="3600" w:hanging="360"/>
      </w:pPr>
      <w:rPr>
        <w:rFonts w:ascii="Arial" w:hAnsi="Arial" w:hint="default"/>
      </w:rPr>
    </w:lvl>
    <w:lvl w:ilvl="5" w:tplc="65386E78" w:tentative="1">
      <w:start w:val="1"/>
      <w:numFmt w:val="bullet"/>
      <w:lvlText w:val="•"/>
      <w:lvlJc w:val="left"/>
      <w:pPr>
        <w:tabs>
          <w:tab w:val="num" w:pos="4320"/>
        </w:tabs>
        <w:ind w:left="4320" w:hanging="360"/>
      </w:pPr>
      <w:rPr>
        <w:rFonts w:ascii="Arial" w:hAnsi="Arial" w:hint="default"/>
      </w:rPr>
    </w:lvl>
    <w:lvl w:ilvl="6" w:tplc="49B88472" w:tentative="1">
      <w:start w:val="1"/>
      <w:numFmt w:val="bullet"/>
      <w:lvlText w:val="•"/>
      <w:lvlJc w:val="left"/>
      <w:pPr>
        <w:tabs>
          <w:tab w:val="num" w:pos="5040"/>
        </w:tabs>
        <w:ind w:left="5040" w:hanging="360"/>
      </w:pPr>
      <w:rPr>
        <w:rFonts w:ascii="Arial" w:hAnsi="Arial" w:hint="default"/>
      </w:rPr>
    </w:lvl>
    <w:lvl w:ilvl="7" w:tplc="7D0EFFEC" w:tentative="1">
      <w:start w:val="1"/>
      <w:numFmt w:val="bullet"/>
      <w:lvlText w:val="•"/>
      <w:lvlJc w:val="left"/>
      <w:pPr>
        <w:tabs>
          <w:tab w:val="num" w:pos="5760"/>
        </w:tabs>
        <w:ind w:left="5760" w:hanging="360"/>
      </w:pPr>
      <w:rPr>
        <w:rFonts w:ascii="Arial" w:hAnsi="Arial" w:hint="default"/>
      </w:rPr>
    </w:lvl>
    <w:lvl w:ilvl="8" w:tplc="93943926" w:tentative="1">
      <w:start w:val="1"/>
      <w:numFmt w:val="bullet"/>
      <w:lvlText w:val="•"/>
      <w:lvlJc w:val="left"/>
      <w:pPr>
        <w:tabs>
          <w:tab w:val="num" w:pos="6480"/>
        </w:tabs>
        <w:ind w:left="6480" w:hanging="360"/>
      </w:pPr>
      <w:rPr>
        <w:rFonts w:ascii="Arial" w:hAnsi="Arial" w:hint="default"/>
      </w:rPr>
    </w:lvl>
  </w:abstractNum>
  <w:abstractNum w:abstractNumId="8">
    <w:nsid w:val="439C760D"/>
    <w:multiLevelType w:val="hybridMultilevel"/>
    <w:tmpl w:val="4B381B5A"/>
    <w:lvl w:ilvl="0" w:tplc="81C27D2C">
      <w:start w:val="1"/>
      <w:numFmt w:val="bullet"/>
      <w:lvlText w:val=""/>
      <w:lvlJc w:val="left"/>
      <w:pPr>
        <w:tabs>
          <w:tab w:val="num" w:pos="360"/>
        </w:tabs>
        <w:ind w:left="360"/>
      </w:pPr>
      <w:rPr>
        <w:rFonts w:ascii="Wingdings" w:hAnsi="Wingdings" w:cs="Wingding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9">
    <w:nsid w:val="54E52C58"/>
    <w:multiLevelType w:val="hybridMultilevel"/>
    <w:tmpl w:val="7B0C1A1E"/>
    <w:lvl w:ilvl="0" w:tplc="5B38C696">
      <w:start w:val="1"/>
      <w:numFmt w:val="bullet"/>
      <w:lvlText w:val=""/>
      <w:lvlJc w:val="left"/>
      <w:pPr>
        <w:ind w:left="720" w:hanging="360"/>
      </w:pPr>
      <w:rPr>
        <w:rFonts w:ascii="Symbol" w:hAnsi="Symbol" w:hint="default"/>
        <w:lang w:val="en-US"/>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5532322"/>
    <w:multiLevelType w:val="hybridMultilevel"/>
    <w:tmpl w:val="0D90AAE8"/>
    <w:lvl w:ilvl="0" w:tplc="388A78BA">
      <w:start w:val="1"/>
      <w:numFmt w:val="bullet"/>
      <w:lvlText w:val="•"/>
      <w:lvlJc w:val="left"/>
      <w:pPr>
        <w:tabs>
          <w:tab w:val="num" w:pos="720"/>
        </w:tabs>
        <w:ind w:left="720" w:hanging="360"/>
      </w:pPr>
      <w:rPr>
        <w:rFonts w:ascii="Arial" w:hAnsi="Arial" w:hint="default"/>
      </w:rPr>
    </w:lvl>
    <w:lvl w:ilvl="1" w:tplc="E6028AB4" w:tentative="1">
      <w:start w:val="1"/>
      <w:numFmt w:val="bullet"/>
      <w:lvlText w:val="•"/>
      <w:lvlJc w:val="left"/>
      <w:pPr>
        <w:tabs>
          <w:tab w:val="num" w:pos="1440"/>
        </w:tabs>
        <w:ind w:left="1440" w:hanging="360"/>
      </w:pPr>
      <w:rPr>
        <w:rFonts w:ascii="Arial" w:hAnsi="Arial" w:hint="default"/>
      </w:rPr>
    </w:lvl>
    <w:lvl w:ilvl="2" w:tplc="C22EDBD6" w:tentative="1">
      <w:start w:val="1"/>
      <w:numFmt w:val="bullet"/>
      <w:lvlText w:val="•"/>
      <w:lvlJc w:val="left"/>
      <w:pPr>
        <w:tabs>
          <w:tab w:val="num" w:pos="2160"/>
        </w:tabs>
        <w:ind w:left="2160" w:hanging="360"/>
      </w:pPr>
      <w:rPr>
        <w:rFonts w:ascii="Arial" w:hAnsi="Arial" w:hint="default"/>
      </w:rPr>
    </w:lvl>
    <w:lvl w:ilvl="3" w:tplc="5DC245B4" w:tentative="1">
      <w:start w:val="1"/>
      <w:numFmt w:val="bullet"/>
      <w:lvlText w:val="•"/>
      <w:lvlJc w:val="left"/>
      <w:pPr>
        <w:tabs>
          <w:tab w:val="num" w:pos="2880"/>
        </w:tabs>
        <w:ind w:left="2880" w:hanging="360"/>
      </w:pPr>
      <w:rPr>
        <w:rFonts w:ascii="Arial" w:hAnsi="Arial" w:hint="default"/>
      </w:rPr>
    </w:lvl>
    <w:lvl w:ilvl="4" w:tplc="651E9B8E" w:tentative="1">
      <w:start w:val="1"/>
      <w:numFmt w:val="bullet"/>
      <w:lvlText w:val="•"/>
      <w:lvlJc w:val="left"/>
      <w:pPr>
        <w:tabs>
          <w:tab w:val="num" w:pos="3600"/>
        </w:tabs>
        <w:ind w:left="3600" w:hanging="360"/>
      </w:pPr>
      <w:rPr>
        <w:rFonts w:ascii="Arial" w:hAnsi="Arial" w:hint="default"/>
      </w:rPr>
    </w:lvl>
    <w:lvl w:ilvl="5" w:tplc="31B8ED90" w:tentative="1">
      <w:start w:val="1"/>
      <w:numFmt w:val="bullet"/>
      <w:lvlText w:val="•"/>
      <w:lvlJc w:val="left"/>
      <w:pPr>
        <w:tabs>
          <w:tab w:val="num" w:pos="4320"/>
        </w:tabs>
        <w:ind w:left="4320" w:hanging="360"/>
      </w:pPr>
      <w:rPr>
        <w:rFonts w:ascii="Arial" w:hAnsi="Arial" w:hint="default"/>
      </w:rPr>
    </w:lvl>
    <w:lvl w:ilvl="6" w:tplc="3F1ED27C" w:tentative="1">
      <w:start w:val="1"/>
      <w:numFmt w:val="bullet"/>
      <w:lvlText w:val="•"/>
      <w:lvlJc w:val="left"/>
      <w:pPr>
        <w:tabs>
          <w:tab w:val="num" w:pos="5040"/>
        </w:tabs>
        <w:ind w:left="5040" w:hanging="360"/>
      </w:pPr>
      <w:rPr>
        <w:rFonts w:ascii="Arial" w:hAnsi="Arial" w:hint="default"/>
      </w:rPr>
    </w:lvl>
    <w:lvl w:ilvl="7" w:tplc="838C2DDE" w:tentative="1">
      <w:start w:val="1"/>
      <w:numFmt w:val="bullet"/>
      <w:lvlText w:val="•"/>
      <w:lvlJc w:val="left"/>
      <w:pPr>
        <w:tabs>
          <w:tab w:val="num" w:pos="5760"/>
        </w:tabs>
        <w:ind w:left="5760" w:hanging="360"/>
      </w:pPr>
      <w:rPr>
        <w:rFonts w:ascii="Arial" w:hAnsi="Arial" w:hint="default"/>
      </w:rPr>
    </w:lvl>
    <w:lvl w:ilvl="8" w:tplc="1938F5CC" w:tentative="1">
      <w:start w:val="1"/>
      <w:numFmt w:val="bullet"/>
      <w:lvlText w:val="•"/>
      <w:lvlJc w:val="left"/>
      <w:pPr>
        <w:tabs>
          <w:tab w:val="num" w:pos="6480"/>
        </w:tabs>
        <w:ind w:left="6480" w:hanging="360"/>
      </w:pPr>
      <w:rPr>
        <w:rFonts w:ascii="Arial" w:hAnsi="Arial" w:hint="default"/>
      </w:rPr>
    </w:lvl>
  </w:abstractNum>
  <w:abstractNum w:abstractNumId="11">
    <w:nsid w:val="77E67635"/>
    <w:multiLevelType w:val="hybridMultilevel"/>
    <w:tmpl w:val="53F2012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2">
    <w:nsid w:val="7DEE78C3"/>
    <w:multiLevelType w:val="hybridMultilevel"/>
    <w:tmpl w:val="CFEC38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EBD5B46"/>
    <w:multiLevelType w:val="hybridMultilevel"/>
    <w:tmpl w:val="744CEFDA"/>
    <w:lvl w:ilvl="0" w:tplc="04090001">
      <w:start w:val="63"/>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6"/>
  </w:num>
  <w:num w:numId="2">
    <w:abstractNumId w:val="8"/>
  </w:num>
  <w:num w:numId="3">
    <w:abstractNumId w:val="5"/>
  </w:num>
  <w:num w:numId="4">
    <w:abstractNumId w:val="13"/>
  </w:num>
  <w:num w:numId="5">
    <w:abstractNumId w:val="1"/>
  </w:num>
  <w:num w:numId="6">
    <w:abstractNumId w:val="2"/>
  </w:num>
  <w:num w:numId="7">
    <w:abstractNumId w:val="4"/>
  </w:num>
  <w:num w:numId="8">
    <w:abstractNumId w:val="3"/>
  </w:num>
  <w:num w:numId="9">
    <w:abstractNumId w:val="12"/>
  </w:num>
  <w:num w:numId="10">
    <w:abstractNumId w:val="7"/>
  </w:num>
  <w:num w:numId="11">
    <w:abstractNumId w:val="10"/>
  </w:num>
  <w:num w:numId="12">
    <w:abstractNumId w:val="0"/>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3FB"/>
    <w:rsid w:val="00000130"/>
    <w:rsid w:val="000036CE"/>
    <w:rsid w:val="000068BF"/>
    <w:rsid w:val="000068D0"/>
    <w:rsid w:val="00007290"/>
    <w:rsid w:val="00007633"/>
    <w:rsid w:val="00010456"/>
    <w:rsid w:val="00012C68"/>
    <w:rsid w:val="00013F02"/>
    <w:rsid w:val="00017D41"/>
    <w:rsid w:val="000203CA"/>
    <w:rsid w:val="000230D7"/>
    <w:rsid w:val="0002536F"/>
    <w:rsid w:val="00030F39"/>
    <w:rsid w:val="00031FD8"/>
    <w:rsid w:val="00033667"/>
    <w:rsid w:val="0003443E"/>
    <w:rsid w:val="000443F3"/>
    <w:rsid w:val="0004695E"/>
    <w:rsid w:val="000550B0"/>
    <w:rsid w:val="0005591A"/>
    <w:rsid w:val="00056A81"/>
    <w:rsid w:val="00062A29"/>
    <w:rsid w:val="00064061"/>
    <w:rsid w:val="00065B98"/>
    <w:rsid w:val="000665D1"/>
    <w:rsid w:val="00066EBC"/>
    <w:rsid w:val="000768EC"/>
    <w:rsid w:val="00085434"/>
    <w:rsid w:val="00086519"/>
    <w:rsid w:val="00090927"/>
    <w:rsid w:val="000911D2"/>
    <w:rsid w:val="00091E2B"/>
    <w:rsid w:val="000939BC"/>
    <w:rsid w:val="000A0011"/>
    <w:rsid w:val="000A1705"/>
    <w:rsid w:val="000A7C8A"/>
    <w:rsid w:val="000A7DEA"/>
    <w:rsid w:val="000B264F"/>
    <w:rsid w:val="000C4B97"/>
    <w:rsid w:val="000C7CA6"/>
    <w:rsid w:val="000C7EDB"/>
    <w:rsid w:val="000D5107"/>
    <w:rsid w:val="000D7FEF"/>
    <w:rsid w:val="000E69C5"/>
    <w:rsid w:val="000F1AEB"/>
    <w:rsid w:val="000F40CE"/>
    <w:rsid w:val="000F7147"/>
    <w:rsid w:val="001041C4"/>
    <w:rsid w:val="00107671"/>
    <w:rsid w:val="0011513F"/>
    <w:rsid w:val="00115D3F"/>
    <w:rsid w:val="0011624D"/>
    <w:rsid w:val="001200CE"/>
    <w:rsid w:val="001225C0"/>
    <w:rsid w:val="00122F44"/>
    <w:rsid w:val="00124E7B"/>
    <w:rsid w:val="001302DD"/>
    <w:rsid w:val="001346DF"/>
    <w:rsid w:val="001521D4"/>
    <w:rsid w:val="001602E6"/>
    <w:rsid w:val="001647C3"/>
    <w:rsid w:val="001653B1"/>
    <w:rsid w:val="0017052B"/>
    <w:rsid w:val="00170B64"/>
    <w:rsid w:val="00173258"/>
    <w:rsid w:val="00173AF8"/>
    <w:rsid w:val="00176396"/>
    <w:rsid w:val="00181A22"/>
    <w:rsid w:val="001848AE"/>
    <w:rsid w:val="00184A59"/>
    <w:rsid w:val="00191465"/>
    <w:rsid w:val="00191C50"/>
    <w:rsid w:val="001B2881"/>
    <w:rsid w:val="001B3A8B"/>
    <w:rsid w:val="001B5AB8"/>
    <w:rsid w:val="001B7404"/>
    <w:rsid w:val="001B7FD8"/>
    <w:rsid w:val="001C1099"/>
    <w:rsid w:val="001C19BE"/>
    <w:rsid w:val="001C3F3B"/>
    <w:rsid w:val="001C47DF"/>
    <w:rsid w:val="001C6E28"/>
    <w:rsid w:val="001D04B9"/>
    <w:rsid w:val="001D1251"/>
    <w:rsid w:val="001D286A"/>
    <w:rsid w:val="001E19F2"/>
    <w:rsid w:val="001E497C"/>
    <w:rsid w:val="001E58DE"/>
    <w:rsid w:val="001F05C6"/>
    <w:rsid w:val="001F0B2B"/>
    <w:rsid w:val="001F3CB9"/>
    <w:rsid w:val="001F649E"/>
    <w:rsid w:val="002064B1"/>
    <w:rsid w:val="00207D5D"/>
    <w:rsid w:val="00212EB0"/>
    <w:rsid w:val="0021300C"/>
    <w:rsid w:val="002207ED"/>
    <w:rsid w:val="00221699"/>
    <w:rsid w:val="00221CD1"/>
    <w:rsid w:val="0022424C"/>
    <w:rsid w:val="00230B41"/>
    <w:rsid w:val="00232C1A"/>
    <w:rsid w:val="0024006C"/>
    <w:rsid w:val="00241615"/>
    <w:rsid w:val="00241658"/>
    <w:rsid w:val="00263770"/>
    <w:rsid w:val="00265583"/>
    <w:rsid w:val="0027351C"/>
    <w:rsid w:val="002767CB"/>
    <w:rsid w:val="00276A15"/>
    <w:rsid w:val="0027736E"/>
    <w:rsid w:val="00280AF1"/>
    <w:rsid w:val="00282065"/>
    <w:rsid w:val="00290CFD"/>
    <w:rsid w:val="002926DB"/>
    <w:rsid w:val="0029322D"/>
    <w:rsid w:val="002A6D39"/>
    <w:rsid w:val="002A7264"/>
    <w:rsid w:val="002B599E"/>
    <w:rsid w:val="002B6665"/>
    <w:rsid w:val="002B6C80"/>
    <w:rsid w:val="002D157E"/>
    <w:rsid w:val="002D356D"/>
    <w:rsid w:val="002D368E"/>
    <w:rsid w:val="002D3DA5"/>
    <w:rsid w:val="002D5DC5"/>
    <w:rsid w:val="002D60D6"/>
    <w:rsid w:val="002D6E5B"/>
    <w:rsid w:val="002E4AC3"/>
    <w:rsid w:val="0030417A"/>
    <w:rsid w:val="003045E1"/>
    <w:rsid w:val="003107CF"/>
    <w:rsid w:val="00321E4B"/>
    <w:rsid w:val="003272AD"/>
    <w:rsid w:val="003361D4"/>
    <w:rsid w:val="00337033"/>
    <w:rsid w:val="0034018A"/>
    <w:rsid w:val="0034420C"/>
    <w:rsid w:val="0034490A"/>
    <w:rsid w:val="00353563"/>
    <w:rsid w:val="00353B12"/>
    <w:rsid w:val="003555D2"/>
    <w:rsid w:val="00355B8B"/>
    <w:rsid w:val="00357564"/>
    <w:rsid w:val="0036403D"/>
    <w:rsid w:val="00376A5C"/>
    <w:rsid w:val="003849C4"/>
    <w:rsid w:val="00391F98"/>
    <w:rsid w:val="00393FFC"/>
    <w:rsid w:val="00394DED"/>
    <w:rsid w:val="003A2045"/>
    <w:rsid w:val="003A27EA"/>
    <w:rsid w:val="003A2E34"/>
    <w:rsid w:val="003B7CA3"/>
    <w:rsid w:val="003C7ED5"/>
    <w:rsid w:val="003D20D4"/>
    <w:rsid w:val="003D5539"/>
    <w:rsid w:val="003D7C24"/>
    <w:rsid w:val="003E2D8B"/>
    <w:rsid w:val="003E522F"/>
    <w:rsid w:val="003E7573"/>
    <w:rsid w:val="003F2B8D"/>
    <w:rsid w:val="00405C2D"/>
    <w:rsid w:val="0041019A"/>
    <w:rsid w:val="00410AB1"/>
    <w:rsid w:val="004168E4"/>
    <w:rsid w:val="00417EAD"/>
    <w:rsid w:val="00420428"/>
    <w:rsid w:val="00432921"/>
    <w:rsid w:val="00432DB9"/>
    <w:rsid w:val="004331F8"/>
    <w:rsid w:val="00435423"/>
    <w:rsid w:val="00441B7F"/>
    <w:rsid w:val="0044273C"/>
    <w:rsid w:val="0044351A"/>
    <w:rsid w:val="0044397C"/>
    <w:rsid w:val="004468F1"/>
    <w:rsid w:val="004502E1"/>
    <w:rsid w:val="0045238E"/>
    <w:rsid w:val="004533F1"/>
    <w:rsid w:val="004628DA"/>
    <w:rsid w:val="004674DA"/>
    <w:rsid w:val="00473188"/>
    <w:rsid w:val="004751F0"/>
    <w:rsid w:val="004823B7"/>
    <w:rsid w:val="00482508"/>
    <w:rsid w:val="00486116"/>
    <w:rsid w:val="0049158B"/>
    <w:rsid w:val="004B1C26"/>
    <w:rsid w:val="004B3715"/>
    <w:rsid w:val="004D255A"/>
    <w:rsid w:val="004D4284"/>
    <w:rsid w:val="004D5118"/>
    <w:rsid w:val="004E6334"/>
    <w:rsid w:val="004E784B"/>
    <w:rsid w:val="004F09FB"/>
    <w:rsid w:val="005042EF"/>
    <w:rsid w:val="00515198"/>
    <w:rsid w:val="00521E06"/>
    <w:rsid w:val="005227B4"/>
    <w:rsid w:val="005240F6"/>
    <w:rsid w:val="0052668A"/>
    <w:rsid w:val="00530CB6"/>
    <w:rsid w:val="00534E27"/>
    <w:rsid w:val="0054031D"/>
    <w:rsid w:val="00541DDE"/>
    <w:rsid w:val="005431A7"/>
    <w:rsid w:val="0054568F"/>
    <w:rsid w:val="00546635"/>
    <w:rsid w:val="005470D1"/>
    <w:rsid w:val="00557EEB"/>
    <w:rsid w:val="00563B0F"/>
    <w:rsid w:val="00563B48"/>
    <w:rsid w:val="0056512F"/>
    <w:rsid w:val="00570DED"/>
    <w:rsid w:val="00575347"/>
    <w:rsid w:val="00584640"/>
    <w:rsid w:val="00586A05"/>
    <w:rsid w:val="005903BB"/>
    <w:rsid w:val="00593869"/>
    <w:rsid w:val="0059655B"/>
    <w:rsid w:val="005A3D6E"/>
    <w:rsid w:val="005A3E18"/>
    <w:rsid w:val="005B28BC"/>
    <w:rsid w:val="005B676A"/>
    <w:rsid w:val="005B6B14"/>
    <w:rsid w:val="005B76C5"/>
    <w:rsid w:val="005C0D39"/>
    <w:rsid w:val="005D3EFF"/>
    <w:rsid w:val="005D44B2"/>
    <w:rsid w:val="005E55E8"/>
    <w:rsid w:val="005E5A66"/>
    <w:rsid w:val="005F2CD6"/>
    <w:rsid w:val="00603A28"/>
    <w:rsid w:val="00611BEE"/>
    <w:rsid w:val="00615919"/>
    <w:rsid w:val="006166CA"/>
    <w:rsid w:val="0062483B"/>
    <w:rsid w:val="00625472"/>
    <w:rsid w:val="006262F5"/>
    <w:rsid w:val="00630FF7"/>
    <w:rsid w:val="006358E8"/>
    <w:rsid w:val="00637C58"/>
    <w:rsid w:val="00640DF2"/>
    <w:rsid w:val="00641221"/>
    <w:rsid w:val="006417DB"/>
    <w:rsid w:val="0064384C"/>
    <w:rsid w:val="006448D1"/>
    <w:rsid w:val="00647552"/>
    <w:rsid w:val="006475E0"/>
    <w:rsid w:val="006510FF"/>
    <w:rsid w:val="00661AA2"/>
    <w:rsid w:val="00674413"/>
    <w:rsid w:val="006762B7"/>
    <w:rsid w:val="00677AC6"/>
    <w:rsid w:val="00680155"/>
    <w:rsid w:val="00681097"/>
    <w:rsid w:val="00682594"/>
    <w:rsid w:val="006848EB"/>
    <w:rsid w:val="0069519A"/>
    <w:rsid w:val="006A4EEF"/>
    <w:rsid w:val="006A64C5"/>
    <w:rsid w:val="006B0054"/>
    <w:rsid w:val="006B4194"/>
    <w:rsid w:val="006B5468"/>
    <w:rsid w:val="006B70F5"/>
    <w:rsid w:val="006C3E6D"/>
    <w:rsid w:val="006C6157"/>
    <w:rsid w:val="006C6367"/>
    <w:rsid w:val="006C6D34"/>
    <w:rsid w:val="006D09AC"/>
    <w:rsid w:val="006D7F0C"/>
    <w:rsid w:val="006E0459"/>
    <w:rsid w:val="006E19C8"/>
    <w:rsid w:val="006E64D8"/>
    <w:rsid w:val="006E7513"/>
    <w:rsid w:val="006F20A8"/>
    <w:rsid w:val="006F3E52"/>
    <w:rsid w:val="00702868"/>
    <w:rsid w:val="00706DE9"/>
    <w:rsid w:val="007105EA"/>
    <w:rsid w:val="00713FB1"/>
    <w:rsid w:val="00715BFD"/>
    <w:rsid w:val="00736BFB"/>
    <w:rsid w:val="0074025B"/>
    <w:rsid w:val="0074417A"/>
    <w:rsid w:val="00750973"/>
    <w:rsid w:val="00752B87"/>
    <w:rsid w:val="00762B28"/>
    <w:rsid w:val="00763125"/>
    <w:rsid w:val="0076331D"/>
    <w:rsid w:val="007701D2"/>
    <w:rsid w:val="007702B9"/>
    <w:rsid w:val="00774B34"/>
    <w:rsid w:val="007772CE"/>
    <w:rsid w:val="00777BAB"/>
    <w:rsid w:val="007B316E"/>
    <w:rsid w:val="007B56E4"/>
    <w:rsid w:val="007C3FF5"/>
    <w:rsid w:val="007D163B"/>
    <w:rsid w:val="007D29E7"/>
    <w:rsid w:val="007D3F1C"/>
    <w:rsid w:val="007D402D"/>
    <w:rsid w:val="007E0DE8"/>
    <w:rsid w:val="007E0E6F"/>
    <w:rsid w:val="007E707B"/>
    <w:rsid w:val="007F199B"/>
    <w:rsid w:val="007F3EAE"/>
    <w:rsid w:val="00802920"/>
    <w:rsid w:val="00807EB5"/>
    <w:rsid w:val="008100A3"/>
    <w:rsid w:val="00811463"/>
    <w:rsid w:val="00813DCE"/>
    <w:rsid w:val="00815211"/>
    <w:rsid w:val="00816FB7"/>
    <w:rsid w:val="00820370"/>
    <w:rsid w:val="00823163"/>
    <w:rsid w:val="0082374A"/>
    <w:rsid w:val="00824CB2"/>
    <w:rsid w:val="00826572"/>
    <w:rsid w:val="00831531"/>
    <w:rsid w:val="00833FA1"/>
    <w:rsid w:val="00837786"/>
    <w:rsid w:val="00837D22"/>
    <w:rsid w:val="00846188"/>
    <w:rsid w:val="00850034"/>
    <w:rsid w:val="008606D1"/>
    <w:rsid w:val="008613FB"/>
    <w:rsid w:val="00862643"/>
    <w:rsid w:val="00865E7F"/>
    <w:rsid w:val="00867AD0"/>
    <w:rsid w:val="008722E8"/>
    <w:rsid w:val="008820D6"/>
    <w:rsid w:val="00882901"/>
    <w:rsid w:val="00883E5D"/>
    <w:rsid w:val="00890A93"/>
    <w:rsid w:val="0089111B"/>
    <w:rsid w:val="00892AD3"/>
    <w:rsid w:val="00892E63"/>
    <w:rsid w:val="008969A2"/>
    <w:rsid w:val="008A33E3"/>
    <w:rsid w:val="008B1029"/>
    <w:rsid w:val="008B273C"/>
    <w:rsid w:val="008B4447"/>
    <w:rsid w:val="008C0BBD"/>
    <w:rsid w:val="008C1A1A"/>
    <w:rsid w:val="008C3983"/>
    <w:rsid w:val="008D0562"/>
    <w:rsid w:val="008D6C02"/>
    <w:rsid w:val="008E010D"/>
    <w:rsid w:val="008E5B14"/>
    <w:rsid w:val="008E5CD5"/>
    <w:rsid w:val="008E5F70"/>
    <w:rsid w:val="008F5E27"/>
    <w:rsid w:val="009021DB"/>
    <w:rsid w:val="00902D5F"/>
    <w:rsid w:val="009054F1"/>
    <w:rsid w:val="009062FA"/>
    <w:rsid w:val="00906359"/>
    <w:rsid w:val="00910C3F"/>
    <w:rsid w:val="00920BC0"/>
    <w:rsid w:val="00920C0E"/>
    <w:rsid w:val="00920D33"/>
    <w:rsid w:val="00932D42"/>
    <w:rsid w:val="00932D63"/>
    <w:rsid w:val="00934B50"/>
    <w:rsid w:val="00940EE7"/>
    <w:rsid w:val="00945626"/>
    <w:rsid w:val="009463C2"/>
    <w:rsid w:val="00947A39"/>
    <w:rsid w:val="00955BAA"/>
    <w:rsid w:val="00956D75"/>
    <w:rsid w:val="00965608"/>
    <w:rsid w:val="00965AB8"/>
    <w:rsid w:val="00981962"/>
    <w:rsid w:val="0098574C"/>
    <w:rsid w:val="0099000E"/>
    <w:rsid w:val="009916E9"/>
    <w:rsid w:val="00994A2E"/>
    <w:rsid w:val="00994A87"/>
    <w:rsid w:val="009A49E8"/>
    <w:rsid w:val="009A4FAE"/>
    <w:rsid w:val="009A6430"/>
    <w:rsid w:val="009B61F5"/>
    <w:rsid w:val="009B66D6"/>
    <w:rsid w:val="009C0C7E"/>
    <w:rsid w:val="009C3C51"/>
    <w:rsid w:val="009C55E5"/>
    <w:rsid w:val="009C6ADF"/>
    <w:rsid w:val="009D7BE7"/>
    <w:rsid w:val="009E057D"/>
    <w:rsid w:val="009F0203"/>
    <w:rsid w:val="009F0D1D"/>
    <w:rsid w:val="009F2CB5"/>
    <w:rsid w:val="00A051FF"/>
    <w:rsid w:val="00A05207"/>
    <w:rsid w:val="00A06789"/>
    <w:rsid w:val="00A072CD"/>
    <w:rsid w:val="00A100D0"/>
    <w:rsid w:val="00A1030D"/>
    <w:rsid w:val="00A12CCD"/>
    <w:rsid w:val="00A17FF1"/>
    <w:rsid w:val="00A21A3D"/>
    <w:rsid w:val="00A243A9"/>
    <w:rsid w:val="00A24A9E"/>
    <w:rsid w:val="00A2694A"/>
    <w:rsid w:val="00A330B9"/>
    <w:rsid w:val="00A36727"/>
    <w:rsid w:val="00A73FDD"/>
    <w:rsid w:val="00A76C43"/>
    <w:rsid w:val="00A83FAD"/>
    <w:rsid w:val="00A84688"/>
    <w:rsid w:val="00A8551E"/>
    <w:rsid w:val="00A8552B"/>
    <w:rsid w:val="00A85649"/>
    <w:rsid w:val="00A90E0F"/>
    <w:rsid w:val="00A9442C"/>
    <w:rsid w:val="00A95B2F"/>
    <w:rsid w:val="00A9748D"/>
    <w:rsid w:val="00AA72AB"/>
    <w:rsid w:val="00AB1191"/>
    <w:rsid w:val="00AB20EC"/>
    <w:rsid w:val="00AB2E00"/>
    <w:rsid w:val="00AB5226"/>
    <w:rsid w:val="00AC0CD8"/>
    <w:rsid w:val="00AC4819"/>
    <w:rsid w:val="00AC5727"/>
    <w:rsid w:val="00AD16F6"/>
    <w:rsid w:val="00AD22E6"/>
    <w:rsid w:val="00AE1F3E"/>
    <w:rsid w:val="00AF21B8"/>
    <w:rsid w:val="00AF4511"/>
    <w:rsid w:val="00AF46CB"/>
    <w:rsid w:val="00B119E4"/>
    <w:rsid w:val="00B14ABC"/>
    <w:rsid w:val="00B20DAD"/>
    <w:rsid w:val="00B21D90"/>
    <w:rsid w:val="00B329FE"/>
    <w:rsid w:val="00B33CF6"/>
    <w:rsid w:val="00B340C3"/>
    <w:rsid w:val="00B36E23"/>
    <w:rsid w:val="00B40AC5"/>
    <w:rsid w:val="00B44C21"/>
    <w:rsid w:val="00B618CC"/>
    <w:rsid w:val="00B65465"/>
    <w:rsid w:val="00B72554"/>
    <w:rsid w:val="00B77614"/>
    <w:rsid w:val="00B81DC7"/>
    <w:rsid w:val="00B82E09"/>
    <w:rsid w:val="00B8318C"/>
    <w:rsid w:val="00B83B29"/>
    <w:rsid w:val="00B877A8"/>
    <w:rsid w:val="00B97662"/>
    <w:rsid w:val="00BA2FB7"/>
    <w:rsid w:val="00BA6026"/>
    <w:rsid w:val="00BA6A71"/>
    <w:rsid w:val="00BB1986"/>
    <w:rsid w:val="00BB416A"/>
    <w:rsid w:val="00BB6837"/>
    <w:rsid w:val="00BB754D"/>
    <w:rsid w:val="00BC136E"/>
    <w:rsid w:val="00BC39A5"/>
    <w:rsid w:val="00BC44D0"/>
    <w:rsid w:val="00BC45A4"/>
    <w:rsid w:val="00BC7E1C"/>
    <w:rsid w:val="00BD540E"/>
    <w:rsid w:val="00BD7D66"/>
    <w:rsid w:val="00BF03A8"/>
    <w:rsid w:val="00BF727E"/>
    <w:rsid w:val="00C04334"/>
    <w:rsid w:val="00C0548A"/>
    <w:rsid w:val="00C20E7E"/>
    <w:rsid w:val="00C219DB"/>
    <w:rsid w:val="00C33EC6"/>
    <w:rsid w:val="00C3441F"/>
    <w:rsid w:val="00C42D19"/>
    <w:rsid w:val="00C44CB8"/>
    <w:rsid w:val="00C6333B"/>
    <w:rsid w:val="00C75439"/>
    <w:rsid w:val="00C75696"/>
    <w:rsid w:val="00C77857"/>
    <w:rsid w:val="00C83830"/>
    <w:rsid w:val="00C8674D"/>
    <w:rsid w:val="00C903F1"/>
    <w:rsid w:val="00C91D61"/>
    <w:rsid w:val="00C92872"/>
    <w:rsid w:val="00C93214"/>
    <w:rsid w:val="00C94FCA"/>
    <w:rsid w:val="00CA06BE"/>
    <w:rsid w:val="00CA4ECD"/>
    <w:rsid w:val="00CB170B"/>
    <w:rsid w:val="00CB5006"/>
    <w:rsid w:val="00CC7D24"/>
    <w:rsid w:val="00CD34A6"/>
    <w:rsid w:val="00CD41EF"/>
    <w:rsid w:val="00CD5C2B"/>
    <w:rsid w:val="00CE2FAC"/>
    <w:rsid w:val="00CF45FE"/>
    <w:rsid w:val="00CF61EA"/>
    <w:rsid w:val="00CF63DE"/>
    <w:rsid w:val="00CF6654"/>
    <w:rsid w:val="00D02214"/>
    <w:rsid w:val="00D13166"/>
    <w:rsid w:val="00D14903"/>
    <w:rsid w:val="00D17BF5"/>
    <w:rsid w:val="00D22827"/>
    <w:rsid w:val="00D30E81"/>
    <w:rsid w:val="00D314D3"/>
    <w:rsid w:val="00D31638"/>
    <w:rsid w:val="00D352A9"/>
    <w:rsid w:val="00D37E44"/>
    <w:rsid w:val="00D41BED"/>
    <w:rsid w:val="00D4254F"/>
    <w:rsid w:val="00D461B7"/>
    <w:rsid w:val="00D53E6A"/>
    <w:rsid w:val="00D852E0"/>
    <w:rsid w:val="00D86AC4"/>
    <w:rsid w:val="00D914EB"/>
    <w:rsid w:val="00D94988"/>
    <w:rsid w:val="00D94EFD"/>
    <w:rsid w:val="00DB55D0"/>
    <w:rsid w:val="00DB584C"/>
    <w:rsid w:val="00DB6E86"/>
    <w:rsid w:val="00DC0F89"/>
    <w:rsid w:val="00DC1F7D"/>
    <w:rsid w:val="00DC1FC0"/>
    <w:rsid w:val="00DD0B5E"/>
    <w:rsid w:val="00DD0F3F"/>
    <w:rsid w:val="00DD2E11"/>
    <w:rsid w:val="00DD67B5"/>
    <w:rsid w:val="00DD77C0"/>
    <w:rsid w:val="00DE346C"/>
    <w:rsid w:val="00DE41BB"/>
    <w:rsid w:val="00DE4575"/>
    <w:rsid w:val="00DE64A4"/>
    <w:rsid w:val="00DE70B1"/>
    <w:rsid w:val="00DF1669"/>
    <w:rsid w:val="00DF17E6"/>
    <w:rsid w:val="00DF3ADC"/>
    <w:rsid w:val="00DF5B35"/>
    <w:rsid w:val="00E07D9C"/>
    <w:rsid w:val="00E14071"/>
    <w:rsid w:val="00E167D1"/>
    <w:rsid w:val="00E223F7"/>
    <w:rsid w:val="00E25E44"/>
    <w:rsid w:val="00E340A4"/>
    <w:rsid w:val="00E5108D"/>
    <w:rsid w:val="00E536D5"/>
    <w:rsid w:val="00E54E37"/>
    <w:rsid w:val="00E6076C"/>
    <w:rsid w:val="00E64B36"/>
    <w:rsid w:val="00E64C6A"/>
    <w:rsid w:val="00E7071F"/>
    <w:rsid w:val="00E709E4"/>
    <w:rsid w:val="00E772FB"/>
    <w:rsid w:val="00E77916"/>
    <w:rsid w:val="00E8368A"/>
    <w:rsid w:val="00E83695"/>
    <w:rsid w:val="00E83B40"/>
    <w:rsid w:val="00E84EEB"/>
    <w:rsid w:val="00E85846"/>
    <w:rsid w:val="00E91B76"/>
    <w:rsid w:val="00E943B8"/>
    <w:rsid w:val="00EA0FF5"/>
    <w:rsid w:val="00EA456A"/>
    <w:rsid w:val="00EA48E3"/>
    <w:rsid w:val="00EB33F6"/>
    <w:rsid w:val="00EB3FBF"/>
    <w:rsid w:val="00EB6E93"/>
    <w:rsid w:val="00EC2793"/>
    <w:rsid w:val="00EC2A9C"/>
    <w:rsid w:val="00EC3E0C"/>
    <w:rsid w:val="00ED0588"/>
    <w:rsid w:val="00EE04FB"/>
    <w:rsid w:val="00EE07A8"/>
    <w:rsid w:val="00EE0E13"/>
    <w:rsid w:val="00EE2A20"/>
    <w:rsid w:val="00EE5136"/>
    <w:rsid w:val="00EE53E5"/>
    <w:rsid w:val="00EE64F4"/>
    <w:rsid w:val="00EF219B"/>
    <w:rsid w:val="00F04A9F"/>
    <w:rsid w:val="00F06DF7"/>
    <w:rsid w:val="00F12636"/>
    <w:rsid w:val="00F20895"/>
    <w:rsid w:val="00F37269"/>
    <w:rsid w:val="00F375C2"/>
    <w:rsid w:val="00F4683C"/>
    <w:rsid w:val="00F551ED"/>
    <w:rsid w:val="00F6322A"/>
    <w:rsid w:val="00F64781"/>
    <w:rsid w:val="00F648CE"/>
    <w:rsid w:val="00F661F1"/>
    <w:rsid w:val="00F67CA1"/>
    <w:rsid w:val="00F77098"/>
    <w:rsid w:val="00F82B69"/>
    <w:rsid w:val="00F87BC0"/>
    <w:rsid w:val="00F95E9D"/>
    <w:rsid w:val="00FA5A0B"/>
    <w:rsid w:val="00FA6D07"/>
    <w:rsid w:val="00FA7059"/>
    <w:rsid w:val="00FB4DA0"/>
    <w:rsid w:val="00FB4EA6"/>
    <w:rsid w:val="00FB5FA1"/>
    <w:rsid w:val="00FC4D62"/>
    <w:rsid w:val="00FC7FC9"/>
    <w:rsid w:val="00FD088B"/>
    <w:rsid w:val="00FE0845"/>
    <w:rsid w:val="00FE1EBF"/>
    <w:rsid w:val="00FE2884"/>
    <w:rsid w:val="00FE7830"/>
    <w:rsid w:val="00FF0E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5211"/>
    <w:pPr>
      <w:spacing w:before="120"/>
      <w:jc w:val="both"/>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rsid w:val="00815211"/>
    <w:rPr>
      <w:sz w:val="20"/>
      <w:szCs w:val="20"/>
    </w:rPr>
  </w:style>
  <w:style w:type="character" w:customStyle="1" w:styleId="FootnoteTextChar">
    <w:name w:val="Footnote Text Char"/>
    <w:basedOn w:val="Fontepargpadro"/>
    <w:rsid w:val="00815211"/>
    <w:rPr>
      <w:rFonts w:ascii="Times New Roman" w:hAnsi="Times New Roman" w:cs="Times New Roman"/>
      <w:sz w:val="20"/>
      <w:szCs w:val="20"/>
    </w:rPr>
  </w:style>
  <w:style w:type="character" w:styleId="Refdenotaderodap">
    <w:name w:val="footnote reference"/>
    <w:basedOn w:val="Fontepargpadro"/>
    <w:uiPriority w:val="99"/>
    <w:rsid w:val="00815211"/>
    <w:rPr>
      <w:rFonts w:ascii="Times New Roman" w:hAnsi="Times New Roman" w:cs="Times New Roman"/>
      <w:vertAlign w:val="superscript"/>
    </w:rPr>
  </w:style>
  <w:style w:type="character" w:customStyle="1" w:styleId="Bibliogrphy">
    <w:name w:val="Bibliogrphy"/>
    <w:uiPriority w:val="99"/>
    <w:rsid w:val="00815211"/>
  </w:style>
  <w:style w:type="character" w:styleId="Refdecomentrio">
    <w:name w:val="annotation reference"/>
    <w:basedOn w:val="Fontepargpadro"/>
    <w:rsid w:val="00815211"/>
    <w:rPr>
      <w:rFonts w:ascii="Times New Roman" w:hAnsi="Times New Roman" w:cs="Times New Roman"/>
      <w:sz w:val="16"/>
      <w:szCs w:val="16"/>
    </w:rPr>
  </w:style>
  <w:style w:type="paragraph" w:styleId="Textodecomentrio">
    <w:name w:val="annotation text"/>
    <w:basedOn w:val="Normal"/>
    <w:rsid w:val="00815211"/>
    <w:rPr>
      <w:sz w:val="20"/>
      <w:szCs w:val="20"/>
    </w:rPr>
  </w:style>
  <w:style w:type="character" w:customStyle="1" w:styleId="CommentTextChar">
    <w:name w:val="Comment Text Char"/>
    <w:basedOn w:val="Fontepargpadro"/>
    <w:rsid w:val="00815211"/>
    <w:rPr>
      <w:rFonts w:ascii="Times New Roman" w:hAnsi="Times New Roman" w:cs="Times New Roman"/>
      <w:sz w:val="20"/>
      <w:szCs w:val="20"/>
    </w:rPr>
  </w:style>
  <w:style w:type="character" w:customStyle="1" w:styleId="CommentTextChar1">
    <w:name w:val="Comment Text Char1"/>
    <w:basedOn w:val="Fontepargpadro"/>
    <w:rsid w:val="00815211"/>
    <w:rPr>
      <w:rFonts w:ascii="Times New Roman" w:hAnsi="Times New Roman" w:cs="Times New Roman"/>
    </w:rPr>
  </w:style>
  <w:style w:type="paragraph" w:styleId="Assuntodocomentrio">
    <w:name w:val="annotation subject"/>
    <w:basedOn w:val="Textodecomentrio"/>
    <w:next w:val="Textodecomentrio"/>
    <w:rsid w:val="00815211"/>
    <w:rPr>
      <w:b/>
      <w:bCs/>
    </w:rPr>
  </w:style>
  <w:style w:type="character" w:customStyle="1" w:styleId="CommentSubjectChar">
    <w:name w:val="Comment Subject Char"/>
    <w:basedOn w:val="CommentTextChar1"/>
    <w:rsid w:val="00815211"/>
    <w:rPr>
      <w:rFonts w:ascii="Times New Roman" w:hAnsi="Times New Roman" w:cs="Times New Roman"/>
      <w:b/>
      <w:bCs/>
      <w:sz w:val="20"/>
      <w:szCs w:val="20"/>
    </w:rPr>
  </w:style>
  <w:style w:type="character" w:customStyle="1" w:styleId="CommentSubjectChar1">
    <w:name w:val="Comment Subject Char1"/>
    <w:basedOn w:val="CommentTextChar1"/>
    <w:rsid w:val="00815211"/>
    <w:rPr>
      <w:rFonts w:ascii="Times New Roman" w:hAnsi="Times New Roman" w:cs="Times New Roman"/>
      <w:b/>
      <w:bCs/>
    </w:rPr>
  </w:style>
  <w:style w:type="paragraph" w:styleId="Textodebalo">
    <w:name w:val="Balloon Text"/>
    <w:basedOn w:val="Normal"/>
    <w:link w:val="TextodebaloChar"/>
    <w:uiPriority w:val="99"/>
    <w:rsid w:val="00815211"/>
    <w:pPr>
      <w:spacing w:before="0"/>
    </w:pPr>
    <w:rPr>
      <w:rFonts w:ascii="Tahoma" w:hAnsi="Tahoma" w:cs="Tahoma"/>
      <w:sz w:val="16"/>
      <w:szCs w:val="16"/>
    </w:rPr>
  </w:style>
  <w:style w:type="character" w:customStyle="1" w:styleId="BalloonTextChar">
    <w:name w:val="Balloon Text Char"/>
    <w:basedOn w:val="Fontepargpadro"/>
    <w:rsid w:val="00815211"/>
    <w:rPr>
      <w:rFonts w:ascii="Times New Roman" w:hAnsi="Times New Roman" w:cs="Times New Roman"/>
      <w:sz w:val="2"/>
      <w:szCs w:val="2"/>
    </w:rPr>
  </w:style>
  <w:style w:type="character" w:customStyle="1" w:styleId="BalloonTextChar1">
    <w:name w:val="Balloon Text Char1"/>
    <w:basedOn w:val="Fontepargpadro"/>
    <w:rsid w:val="00815211"/>
    <w:rPr>
      <w:rFonts w:ascii="Tahoma" w:hAnsi="Tahoma" w:cs="Tahoma"/>
      <w:sz w:val="16"/>
      <w:szCs w:val="16"/>
    </w:rPr>
  </w:style>
  <w:style w:type="character" w:customStyle="1" w:styleId="TextodenotaderodapChar">
    <w:name w:val="Texto de nota de rodapé Char"/>
    <w:basedOn w:val="Fontepargpadro"/>
    <w:link w:val="Textodenotaderodap"/>
    <w:uiPriority w:val="99"/>
    <w:rsid w:val="00473188"/>
  </w:style>
  <w:style w:type="paragraph" w:styleId="PargrafodaLista">
    <w:name w:val="List Paragraph"/>
    <w:basedOn w:val="Normal"/>
    <w:uiPriority w:val="34"/>
    <w:qFormat/>
    <w:rsid w:val="00BD7D66"/>
    <w:pPr>
      <w:spacing w:before="0" w:after="200" w:line="276" w:lineRule="auto"/>
      <w:ind w:left="720"/>
      <w:contextualSpacing/>
      <w:jc w:val="left"/>
    </w:pPr>
    <w:rPr>
      <w:rFonts w:asciiTheme="minorHAnsi" w:eastAsiaTheme="minorHAnsi" w:hAnsiTheme="minorHAnsi" w:cstheme="minorBidi"/>
      <w:sz w:val="22"/>
      <w:szCs w:val="22"/>
      <w:lang w:eastAsia="en-US"/>
    </w:rPr>
  </w:style>
  <w:style w:type="table" w:styleId="Tabelacomgrade">
    <w:name w:val="Table Grid"/>
    <w:basedOn w:val="Tabelanormal"/>
    <w:uiPriority w:val="59"/>
    <w:rsid w:val="00BD7D6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baloChar">
    <w:name w:val="Texto de balão Char"/>
    <w:basedOn w:val="Fontepargpadro"/>
    <w:link w:val="Textodebalo"/>
    <w:uiPriority w:val="99"/>
    <w:rsid w:val="00584640"/>
    <w:rPr>
      <w:rFonts w:ascii="Tahoma" w:hAnsi="Tahoma" w:cs="Tahoma"/>
      <w:sz w:val="16"/>
      <w:szCs w:val="16"/>
    </w:rPr>
  </w:style>
  <w:style w:type="paragraph" w:styleId="Cabealho">
    <w:name w:val="header"/>
    <w:basedOn w:val="Normal"/>
    <w:link w:val="CabealhoChar"/>
    <w:uiPriority w:val="99"/>
    <w:unhideWhenUsed/>
    <w:rsid w:val="00584640"/>
    <w:pPr>
      <w:tabs>
        <w:tab w:val="center" w:pos="4419"/>
        <w:tab w:val="right" w:pos="8838"/>
      </w:tabs>
      <w:spacing w:before="0"/>
      <w:jc w:val="left"/>
    </w:pPr>
    <w:rPr>
      <w:rFonts w:asciiTheme="minorHAnsi" w:eastAsiaTheme="minorHAnsi" w:hAnsiTheme="minorHAnsi" w:cstheme="minorBidi"/>
      <w:sz w:val="22"/>
      <w:szCs w:val="22"/>
      <w:lang w:val="en-US" w:eastAsia="en-US"/>
    </w:rPr>
  </w:style>
  <w:style w:type="character" w:customStyle="1" w:styleId="CabealhoChar">
    <w:name w:val="Cabeçalho Char"/>
    <w:basedOn w:val="Fontepargpadro"/>
    <w:link w:val="Cabealho"/>
    <w:uiPriority w:val="99"/>
    <w:rsid w:val="00584640"/>
    <w:rPr>
      <w:rFonts w:asciiTheme="minorHAnsi" w:eastAsiaTheme="minorHAnsi" w:hAnsiTheme="minorHAnsi" w:cstheme="minorBidi"/>
      <w:sz w:val="22"/>
      <w:szCs w:val="22"/>
      <w:lang w:val="en-US" w:eastAsia="en-US"/>
    </w:rPr>
  </w:style>
  <w:style w:type="paragraph" w:styleId="Rodap">
    <w:name w:val="footer"/>
    <w:basedOn w:val="Normal"/>
    <w:link w:val="RodapChar"/>
    <w:uiPriority w:val="99"/>
    <w:unhideWhenUsed/>
    <w:rsid w:val="00584640"/>
    <w:pPr>
      <w:tabs>
        <w:tab w:val="center" w:pos="4419"/>
        <w:tab w:val="right" w:pos="8838"/>
      </w:tabs>
      <w:spacing w:before="0"/>
      <w:jc w:val="left"/>
    </w:pPr>
    <w:rPr>
      <w:rFonts w:asciiTheme="minorHAnsi" w:eastAsiaTheme="minorHAnsi" w:hAnsiTheme="minorHAnsi" w:cstheme="minorBidi"/>
      <w:sz w:val="22"/>
      <w:szCs w:val="22"/>
      <w:lang w:val="en-US" w:eastAsia="en-US"/>
    </w:rPr>
  </w:style>
  <w:style w:type="character" w:customStyle="1" w:styleId="RodapChar">
    <w:name w:val="Rodapé Char"/>
    <w:basedOn w:val="Fontepargpadro"/>
    <w:link w:val="Rodap"/>
    <w:uiPriority w:val="99"/>
    <w:rsid w:val="00584640"/>
    <w:rPr>
      <w:rFonts w:asciiTheme="minorHAnsi" w:eastAsiaTheme="minorHAnsi" w:hAnsiTheme="minorHAnsi" w:cstheme="minorBidi"/>
      <w:sz w:val="22"/>
      <w:szCs w:val="22"/>
      <w:lang w:val="en-US" w:eastAsia="en-US"/>
    </w:rPr>
  </w:style>
  <w:style w:type="character" w:styleId="Hyperlink">
    <w:name w:val="Hyperlink"/>
    <w:basedOn w:val="Fontepargpadro"/>
    <w:uiPriority w:val="99"/>
    <w:unhideWhenUsed/>
    <w:rsid w:val="00C94FCA"/>
    <w:rPr>
      <w:rFonts w:ascii="Arial" w:hAnsi="Arial" w:cs="Arial" w:hint="default"/>
      <w:b/>
      <w:bCs/>
      <w:strike w:val="0"/>
      <w:dstrike w:val="0"/>
      <w:color w:val="00222B"/>
      <w:sz w:val="20"/>
      <w:szCs w:val="20"/>
      <w:u w:val="none"/>
      <w:effect w:val="none"/>
    </w:rPr>
  </w:style>
  <w:style w:type="paragraph" w:styleId="Reviso">
    <w:name w:val="Revision"/>
    <w:hidden/>
    <w:uiPriority w:val="99"/>
    <w:semiHidden/>
    <w:rsid w:val="00C94FCA"/>
    <w:rPr>
      <w:sz w:val="24"/>
      <w:szCs w:val="24"/>
    </w:rPr>
  </w:style>
  <w:style w:type="paragraph" w:styleId="TextosemFormatao">
    <w:name w:val="Plain Text"/>
    <w:basedOn w:val="Normal"/>
    <w:link w:val="TextosemFormataoChar"/>
    <w:uiPriority w:val="99"/>
    <w:unhideWhenUsed/>
    <w:rsid w:val="00625472"/>
    <w:pPr>
      <w:spacing w:before="0"/>
      <w:jc w:val="left"/>
    </w:pPr>
    <w:rPr>
      <w:rFonts w:ascii="Consolas" w:eastAsia="Calibri" w:hAnsi="Consolas" w:cs="Consolas"/>
      <w:sz w:val="21"/>
      <w:szCs w:val="21"/>
      <w:lang w:eastAsia="en-US"/>
    </w:rPr>
  </w:style>
  <w:style w:type="character" w:customStyle="1" w:styleId="TextosemFormataoChar">
    <w:name w:val="Texto sem Formatação Char"/>
    <w:basedOn w:val="Fontepargpadro"/>
    <w:link w:val="TextosemFormatao"/>
    <w:uiPriority w:val="99"/>
    <w:rsid w:val="00625472"/>
    <w:rPr>
      <w:rFonts w:ascii="Consolas" w:eastAsia="Calibri" w:hAnsi="Consolas" w:cs="Consolas"/>
      <w:sz w:val="21"/>
      <w:szCs w:val="21"/>
      <w:lang w:eastAsia="en-US"/>
    </w:rPr>
  </w:style>
  <w:style w:type="character" w:customStyle="1" w:styleId="medium-font">
    <w:name w:val="medium-font"/>
    <w:basedOn w:val="Fontepargpadro"/>
    <w:rsid w:val="00534E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5211"/>
    <w:pPr>
      <w:spacing w:before="120"/>
      <w:jc w:val="both"/>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rsid w:val="00815211"/>
    <w:rPr>
      <w:sz w:val="20"/>
      <w:szCs w:val="20"/>
    </w:rPr>
  </w:style>
  <w:style w:type="character" w:customStyle="1" w:styleId="FootnoteTextChar">
    <w:name w:val="Footnote Text Char"/>
    <w:basedOn w:val="Fontepargpadro"/>
    <w:rsid w:val="00815211"/>
    <w:rPr>
      <w:rFonts w:ascii="Times New Roman" w:hAnsi="Times New Roman" w:cs="Times New Roman"/>
      <w:sz w:val="20"/>
      <w:szCs w:val="20"/>
    </w:rPr>
  </w:style>
  <w:style w:type="character" w:styleId="Refdenotaderodap">
    <w:name w:val="footnote reference"/>
    <w:basedOn w:val="Fontepargpadro"/>
    <w:uiPriority w:val="99"/>
    <w:rsid w:val="00815211"/>
    <w:rPr>
      <w:rFonts w:ascii="Times New Roman" w:hAnsi="Times New Roman" w:cs="Times New Roman"/>
      <w:vertAlign w:val="superscript"/>
    </w:rPr>
  </w:style>
  <w:style w:type="character" w:customStyle="1" w:styleId="Bibliogrphy">
    <w:name w:val="Bibliogrphy"/>
    <w:uiPriority w:val="99"/>
    <w:rsid w:val="00815211"/>
  </w:style>
  <w:style w:type="character" w:styleId="Refdecomentrio">
    <w:name w:val="annotation reference"/>
    <w:basedOn w:val="Fontepargpadro"/>
    <w:rsid w:val="00815211"/>
    <w:rPr>
      <w:rFonts w:ascii="Times New Roman" w:hAnsi="Times New Roman" w:cs="Times New Roman"/>
      <w:sz w:val="16"/>
      <w:szCs w:val="16"/>
    </w:rPr>
  </w:style>
  <w:style w:type="paragraph" w:styleId="Textodecomentrio">
    <w:name w:val="annotation text"/>
    <w:basedOn w:val="Normal"/>
    <w:rsid w:val="00815211"/>
    <w:rPr>
      <w:sz w:val="20"/>
      <w:szCs w:val="20"/>
    </w:rPr>
  </w:style>
  <w:style w:type="character" w:customStyle="1" w:styleId="CommentTextChar">
    <w:name w:val="Comment Text Char"/>
    <w:basedOn w:val="Fontepargpadro"/>
    <w:rsid w:val="00815211"/>
    <w:rPr>
      <w:rFonts w:ascii="Times New Roman" w:hAnsi="Times New Roman" w:cs="Times New Roman"/>
      <w:sz w:val="20"/>
      <w:szCs w:val="20"/>
    </w:rPr>
  </w:style>
  <w:style w:type="character" w:customStyle="1" w:styleId="CommentTextChar1">
    <w:name w:val="Comment Text Char1"/>
    <w:basedOn w:val="Fontepargpadro"/>
    <w:rsid w:val="00815211"/>
    <w:rPr>
      <w:rFonts w:ascii="Times New Roman" w:hAnsi="Times New Roman" w:cs="Times New Roman"/>
    </w:rPr>
  </w:style>
  <w:style w:type="paragraph" w:styleId="Assuntodocomentrio">
    <w:name w:val="annotation subject"/>
    <w:basedOn w:val="Textodecomentrio"/>
    <w:next w:val="Textodecomentrio"/>
    <w:rsid w:val="00815211"/>
    <w:rPr>
      <w:b/>
      <w:bCs/>
    </w:rPr>
  </w:style>
  <w:style w:type="character" w:customStyle="1" w:styleId="CommentSubjectChar">
    <w:name w:val="Comment Subject Char"/>
    <w:basedOn w:val="CommentTextChar1"/>
    <w:rsid w:val="00815211"/>
    <w:rPr>
      <w:rFonts w:ascii="Times New Roman" w:hAnsi="Times New Roman" w:cs="Times New Roman"/>
      <w:b/>
      <w:bCs/>
      <w:sz w:val="20"/>
      <w:szCs w:val="20"/>
    </w:rPr>
  </w:style>
  <w:style w:type="character" w:customStyle="1" w:styleId="CommentSubjectChar1">
    <w:name w:val="Comment Subject Char1"/>
    <w:basedOn w:val="CommentTextChar1"/>
    <w:rsid w:val="00815211"/>
    <w:rPr>
      <w:rFonts w:ascii="Times New Roman" w:hAnsi="Times New Roman" w:cs="Times New Roman"/>
      <w:b/>
      <w:bCs/>
    </w:rPr>
  </w:style>
  <w:style w:type="paragraph" w:styleId="Textodebalo">
    <w:name w:val="Balloon Text"/>
    <w:basedOn w:val="Normal"/>
    <w:link w:val="TextodebaloChar"/>
    <w:uiPriority w:val="99"/>
    <w:rsid w:val="00815211"/>
    <w:pPr>
      <w:spacing w:before="0"/>
    </w:pPr>
    <w:rPr>
      <w:rFonts w:ascii="Tahoma" w:hAnsi="Tahoma" w:cs="Tahoma"/>
      <w:sz w:val="16"/>
      <w:szCs w:val="16"/>
    </w:rPr>
  </w:style>
  <w:style w:type="character" w:customStyle="1" w:styleId="BalloonTextChar">
    <w:name w:val="Balloon Text Char"/>
    <w:basedOn w:val="Fontepargpadro"/>
    <w:rsid w:val="00815211"/>
    <w:rPr>
      <w:rFonts w:ascii="Times New Roman" w:hAnsi="Times New Roman" w:cs="Times New Roman"/>
      <w:sz w:val="2"/>
      <w:szCs w:val="2"/>
    </w:rPr>
  </w:style>
  <w:style w:type="character" w:customStyle="1" w:styleId="BalloonTextChar1">
    <w:name w:val="Balloon Text Char1"/>
    <w:basedOn w:val="Fontepargpadro"/>
    <w:rsid w:val="00815211"/>
    <w:rPr>
      <w:rFonts w:ascii="Tahoma" w:hAnsi="Tahoma" w:cs="Tahoma"/>
      <w:sz w:val="16"/>
      <w:szCs w:val="16"/>
    </w:rPr>
  </w:style>
  <w:style w:type="character" w:customStyle="1" w:styleId="TextodenotaderodapChar">
    <w:name w:val="Texto de nota de rodapé Char"/>
    <w:basedOn w:val="Fontepargpadro"/>
    <w:link w:val="Textodenotaderodap"/>
    <w:uiPriority w:val="99"/>
    <w:rsid w:val="00473188"/>
  </w:style>
  <w:style w:type="paragraph" w:styleId="PargrafodaLista">
    <w:name w:val="List Paragraph"/>
    <w:basedOn w:val="Normal"/>
    <w:uiPriority w:val="34"/>
    <w:qFormat/>
    <w:rsid w:val="00BD7D66"/>
    <w:pPr>
      <w:spacing w:before="0" w:after="200" w:line="276" w:lineRule="auto"/>
      <w:ind w:left="720"/>
      <w:contextualSpacing/>
      <w:jc w:val="left"/>
    </w:pPr>
    <w:rPr>
      <w:rFonts w:asciiTheme="minorHAnsi" w:eastAsiaTheme="minorHAnsi" w:hAnsiTheme="minorHAnsi" w:cstheme="minorBidi"/>
      <w:sz w:val="22"/>
      <w:szCs w:val="22"/>
      <w:lang w:eastAsia="en-US"/>
    </w:rPr>
  </w:style>
  <w:style w:type="table" w:styleId="Tabelacomgrade">
    <w:name w:val="Table Grid"/>
    <w:basedOn w:val="Tabelanormal"/>
    <w:uiPriority w:val="59"/>
    <w:rsid w:val="00BD7D6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baloChar">
    <w:name w:val="Texto de balão Char"/>
    <w:basedOn w:val="Fontepargpadro"/>
    <w:link w:val="Textodebalo"/>
    <w:uiPriority w:val="99"/>
    <w:rsid w:val="00584640"/>
    <w:rPr>
      <w:rFonts w:ascii="Tahoma" w:hAnsi="Tahoma" w:cs="Tahoma"/>
      <w:sz w:val="16"/>
      <w:szCs w:val="16"/>
    </w:rPr>
  </w:style>
  <w:style w:type="paragraph" w:styleId="Cabealho">
    <w:name w:val="header"/>
    <w:basedOn w:val="Normal"/>
    <w:link w:val="CabealhoChar"/>
    <w:uiPriority w:val="99"/>
    <w:unhideWhenUsed/>
    <w:rsid w:val="00584640"/>
    <w:pPr>
      <w:tabs>
        <w:tab w:val="center" w:pos="4419"/>
        <w:tab w:val="right" w:pos="8838"/>
      </w:tabs>
      <w:spacing w:before="0"/>
      <w:jc w:val="left"/>
    </w:pPr>
    <w:rPr>
      <w:rFonts w:asciiTheme="minorHAnsi" w:eastAsiaTheme="minorHAnsi" w:hAnsiTheme="minorHAnsi" w:cstheme="minorBidi"/>
      <w:sz w:val="22"/>
      <w:szCs w:val="22"/>
      <w:lang w:val="en-US" w:eastAsia="en-US"/>
    </w:rPr>
  </w:style>
  <w:style w:type="character" w:customStyle="1" w:styleId="CabealhoChar">
    <w:name w:val="Cabeçalho Char"/>
    <w:basedOn w:val="Fontepargpadro"/>
    <w:link w:val="Cabealho"/>
    <w:uiPriority w:val="99"/>
    <w:rsid w:val="00584640"/>
    <w:rPr>
      <w:rFonts w:asciiTheme="minorHAnsi" w:eastAsiaTheme="minorHAnsi" w:hAnsiTheme="minorHAnsi" w:cstheme="minorBidi"/>
      <w:sz w:val="22"/>
      <w:szCs w:val="22"/>
      <w:lang w:val="en-US" w:eastAsia="en-US"/>
    </w:rPr>
  </w:style>
  <w:style w:type="paragraph" w:styleId="Rodap">
    <w:name w:val="footer"/>
    <w:basedOn w:val="Normal"/>
    <w:link w:val="RodapChar"/>
    <w:uiPriority w:val="99"/>
    <w:unhideWhenUsed/>
    <w:rsid w:val="00584640"/>
    <w:pPr>
      <w:tabs>
        <w:tab w:val="center" w:pos="4419"/>
        <w:tab w:val="right" w:pos="8838"/>
      </w:tabs>
      <w:spacing w:before="0"/>
      <w:jc w:val="left"/>
    </w:pPr>
    <w:rPr>
      <w:rFonts w:asciiTheme="minorHAnsi" w:eastAsiaTheme="minorHAnsi" w:hAnsiTheme="minorHAnsi" w:cstheme="minorBidi"/>
      <w:sz w:val="22"/>
      <w:szCs w:val="22"/>
      <w:lang w:val="en-US" w:eastAsia="en-US"/>
    </w:rPr>
  </w:style>
  <w:style w:type="character" w:customStyle="1" w:styleId="RodapChar">
    <w:name w:val="Rodapé Char"/>
    <w:basedOn w:val="Fontepargpadro"/>
    <w:link w:val="Rodap"/>
    <w:uiPriority w:val="99"/>
    <w:rsid w:val="00584640"/>
    <w:rPr>
      <w:rFonts w:asciiTheme="minorHAnsi" w:eastAsiaTheme="minorHAnsi" w:hAnsiTheme="minorHAnsi" w:cstheme="minorBidi"/>
      <w:sz w:val="22"/>
      <w:szCs w:val="22"/>
      <w:lang w:val="en-US" w:eastAsia="en-US"/>
    </w:rPr>
  </w:style>
  <w:style w:type="character" w:styleId="Hyperlink">
    <w:name w:val="Hyperlink"/>
    <w:basedOn w:val="Fontepargpadro"/>
    <w:uiPriority w:val="99"/>
    <w:unhideWhenUsed/>
    <w:rsid w:val="00C94FCA"/>
    <w:rPr>
      <w:rFonts w:ascii="Arial" w:hAnsi="Arial" w:cs="Arial" w:hint="default"/>
      <w:b/>
      <w:bCs/>
      <w:strike w:val="0"/>
      <w:dstrike w:val="0"/>
      <w:color w:val="00222B"/>
      <w:sz w:val="20"/>
      <w:szCs w:val="20"/>
      <w:u w:val="none"/>
      <w:effect w:val="none"/>
    </w:rPr>
  </w:style>
  <w:style w:type="paragraph" w:styleId="Reviso">
    <w:name w:val="Revision"/>
    <w:hidden/>
    <w:uiPriority w:val="99"/>
    <w:semiHidden/>
    <w:rsid w:val="00C94FCA"/>
    <w:rPr>
      <w:sz w:val="24"/>
      <w:szCs w:val="24"/>
    </w:rPr>
  </w:style>
  <w:style w:type="paragraph" w:styleId="TextosemFormatao">
    <w:name w:val="Plain Text"/>
    <w:basedOn w:val="Normal"/>
    <w:link w:val="TextosemFormataoChar"/>
    <w:uiPriority w:val="99"/>
    <w:unhideWhenUsed/>
    <w:rsid w:val="00625472"/>
    <w:pPr>
      <w:spacing w:before="0"/>
      <w:jc w:val="left"/>
    </w:pPr>
    <w:rPr>
      <w:rFonts w:ascii="Consolas" w:eastAsia="Calibri" w:hAnsi="Consolas" w:cs="Consolas"/>
      <w:sz w:val="21"/>
      <w:szCs w:val="21"/>
      <w:lang w:eastAsia="en-US"/>
    </w:rPr>
  </w:style>
  <w:style w:type="character" w:customStyle="1" w:styleId="TextosemFormataoChar">
    <w:name w:val="Texto sem Formatação Char"/>
    <w:basedOn w:val="Fontepargpadro"/>
    <w:link w:val="TextosemFormatao"/>
    <w:uiPriority w:val="99"/>
    <w:rsid w:val="00625472"/>
    <w:rPr>
      <w:rFonts w:ascii="Consolas" w:eastAsia="Calibri" w:hAnsi="Consolas" w:cs="Consolas"/>
      <w:sz w:val="21"/>
      <w:szCs w:val="21"/>
      <w:lang w:eastAsia="en-US"/>
    </w:rPr>
  </w:style>
  <w:style w:type="character" w:customStyle="1" w:styleId="medium-font">
    <w:name w:val="medium-font"/>
    <w:basedOn w:val="Fontepargpadro"/>
    <w:rsid w:val="00534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301072">
      <w:bodyDiv w:val="1"/>
      <w:marLeft w:val="0"/>
      <w:marRight w:val="0"/>
      <w:marTop w:val="0"/>
      <w:marBottom w:val="0"/>
      <w:divBdr>
        <w:top w:val="none" w:sz="0" w:space="0" w:color="auto"/>
        <w:left w:val="none" w:sz="0" w:space="0" w:color="auto"/>
        <w:bottom w:val="none" w:sz="0" w:space="0" w:color="auto"/>
        <w:right w:val="none" w:sz="0" w:space="0" w:color="auto"/>
      </w:divBdr>
    </w:div>
    <w:div w:id="921990902">
      <w:bodyDiv w:val="1"/>
      <w:marLeft w:val="0"/>
      <w:marRight w:val="0"/>
      <w:marTop w:val="0"/>
      <w:marBottom w:val="0"/>
      <w:divBdr>
        <w:top w:val="none" w:sz="0" w:space="0" w:color="auto"/>
        <w:left w:val="none" w:sz="0" w:space="0" w:color="auto"/>
        <w:bottom w:val="none" w:sz="0" w:space="0" w:color="auto"/>
        <w:right w:val="none" w:sz="0" w:space="0" w:color="auto"/>
      </w:divBdr>
      <w:divsChild>
        <w:div w:id="964964042">
          <w:marLeft w:val="547"/>
          <w:marRight w:val="0"/>
          <w:marTop w:val="154"/>
          <w:marBottom w:val="0"/>
          <w:divBdr>
            <w:top w:val="none" w:sz="0" w:space="0" w:color="auto"/>
            <w:left w:val="none" w:sz="0" w:space="0" w:color="auto"/>
            <w:bottom w:val="none" w:sz="0" w:space="0" w:color="auto"/>
            <w:right w:val="none" w:sz="0" w:space="0" w:color="auto"/>
          </w:divBdr>
        </w:div>
        <w:div w:id="196940448">
          <w:marLeft w:val="547"/>
          <w:marRight w:val="0"/>
          <w:marTop w:val="154"/>
          <w:marBottom w:val="0"/>
          <w:divBdr>
            <w:top w:val="none" w:sz="0" w:space="0" w:color="auto"/>
            <w:left w:val="none" w:sz="0" w:space="0" w:color="auto"/>
            <w:bottom w:val="none" w:sz="0" w:space="0" w:color="auto"/>
            <w:right w:val="none" w:sz="0" w:space="0" w:color="auto"/>
          </w:divBdr>
        </w:div>
        <w:div w:id="157694628">
          <w:marLeft w:val="547"/>
          <w:marRight w:val="0"/>
          <w:marTop w:val="154"/>
          <w:marBottom w:val="0"/>
          <w:divBdr>
            <w:top w:val="none" w:sz="0" w:space="0" w:color="auto"/>
            <w:left w:val="none" w:sz="0" w:space="0" w:color="auto"/>
            <w:bottom w:val="none" w:sz="0" w:space="0" w:color="auto"/>
            <w:right w:val="none" w:sz="0" w:space="0" w:color="auto"/>
          </w:divBdr>
        </w:div>
      </w:divsChild>
    </w:div>
    <w:div w:id="1065108520">
      <w:bodyDiv w:val="1"/>
      <w:marLeft w:val="0"/>
      <w:marRight w:val="0"/>
      <w:marTop w:val="0"/>
      <w:marBottom w:val="0"/>
      <w:divBdr>
        <w:top w:val="none" w:sz="0" w:space="0" w:color="auto"/>
        <w:left w:val="none" w:sz="0" w:space="0" w:color="auto"/>
        <w:bottom w:val="none" w:sz="0" w:space="0" w:color="auto"/>
        <w:right w:val="none" w:sz="0" w:space="0" w:color="auto"/>
      </w:divBdr>
    </w:div>
    <w:div w:id="1133250905">
      <w:bodyDiv w:val="1"/>
      <w:marLeft w:val="0"/>
      <w:marRight w:val="0"/>
      <w:marTop w:val="0"/>
      <w:marBottom w:val="0"/>
      <w:divBdr>
        <w:top w:val="none" w:sz="0" w:space="0" w:color="auto"/>
        <w:left w:val="none" w:sz="0" w:space="0" w:color="auto"/>
        <w:bottom w:val="none" w:sz="0" w:space="0" w:color="auto"/>
        <w:right w:val="none" w:sz="0" w:space="0" w:color="auto"/>
      </w:divBdr>
    </w:div>
    <w:div w:id="1299914218">
      <w:bodyDiv w:val="1"/>
      <w:marLeft w:val="0"/>
      <w:marRight w:val="0"/>
      <w:marTop w:val="0"/>
      <w:marBottom w:val="0"/>
      <w:divBdr>
        <w:top w:val="none" w:sz="0" w:space="0" w:color="auto"/>
        <w:left w:val="none" w:sz="0" w:space="0" w:color="auto"/>
        <w:bottom w:val="none" w:sz="0" w:space="0" w:color="auto"/>
        <w:right w:val="none" w:sz="0" w:space="0" w:color="auto"/>
      </w:divBdr>
      <w:divsChild>
        <w:div w:id="574510313">
          <w:marLeft w:val="0"/>
          <w:marRight w:val="0"/>
          <w:marTop w:val="115"/>
          <w:marBottom w:val="0"/>
          <w:divBdr>
            <w:top w:val="none" w:sz="0" w:space="0" w:color="auto"/>
            <w:left w:val="none" w:sz="0" w:space="0" w:color="auto"/>
            <w:bottom w:val="none" w:sz="0" w:space="0" w:color="auto"/>
            <w:right w:val="none" w:sz="0" w:space="0" w:color="auto"/>
          </w:divBdr>
        </w:div>
        <w:div w:id="1666131375">
          <w:marLeft w:val="0"/>
          <w:marRight w:val="0"/>
          <w:marTop w:val="115"/>
          <w:marBottom w:val="0"/>
          <w:divBdr>
            <w:top w:val="none" w:sz="0" w:space="0" w:color="auto"/>
            <w:left w:val="none" w:sz="0" w:space="0" w:color="auto"/>
            <w:bottom w:val="none" w:sz="0" w:space="0" w:color="auto"/>
            <w:right w:val="none" w:sz="0" w:space="0" w:color="auto"/>
          </w:divBdr>
        </w:div>
      </w:divsChild>
    </w:div>
    <w:div w:id="1332175849">
      <w:bodyDiv w:val="1"/>
      <w:marLeft w:val="0"/>
      <w:marRight w:val="0"/>
      <w:marTop w:val="0"/>
      <w:marBottom w:val="0"/>
      <w:divBdr>
        <w:top w:val="none" w:sz="0" w:space="0" w:color="auto"/>
        <w:left w:val="none" w:sz="0" w:space="0" w:color="auto"/>
        <w:bottom w:val="none" w:sz="0" w:space="0" w:color="auto"/>
        <w:right w:val="none" w:sz="0" w:space="0" w:color="auto"/>
      </w:divBdr>
    </w:div>
    <w:div w:id="1389643284">
      <w:bodyDiv w:val="1"/>
      <w:marLeft w:val="0"/>
      <w:marRight w:val="0"/>
      <w:marTop w:val="0"/>
      <w:marBottom w:val="0"/>
      <w:divBdr>
        <w:top w:val="none" w:sz="0" w:space="0" w:color="auto"/>
        <w:left w:val="none" w:sz="0" w:space="0" w:color="auto"/>
        <w:bottom w:val="none" w:sz="0" w:space="0" w:color="auto"/>
        <w:right w:val="none" w:sz="0" w:space="0" w:color="auto"/>
      </w:divBdr>
    </w:div>
    <w:div w:id="1846094330">
      <w:bodyDiv w:val="1"/>
      <w:marLeft w:val="0"/>
      <w:marRight w:val="0"/>
      <w:marTop w:val="0"/>
      <w:marBottom w:val="0"/>
      <w:divBdr>
        <w:top w:val="none" w:sz="0" w:space="0" w:color="auto"/>
        <w:left w:val="none" w:sz="0" w:space="0" w:color="auto"/>
        <w:bottom w:val="none" w:sz="0" w:space="0" w:color="auto"/>
        <w:right w:val="none" w:sz="0" w:space="0" w:color="auto"/>
      </w:divBdr>
      <w:divsChild>
        <w:div w:id="1311446469">
          <w:marLeft w:val="547"/>
          <w:marRight w:val="0"/>
          <w:marTop w:val="144"/>
          <w:marBottom w:val="0"/>
          <w:divBdr>
            <w:top w:val="none" w:sz="0" w:space="0" w:color="auto"/>
            <w:left w:val="none" w:sz="0" w:space="0" w:color="auto"/>
            <w:bottom w:val="none" w:sz="0" w:space="0" w:color="auto"/>
            <w:right w:val="none" w:sz="0" w:space="0" w:color="auto"/>
          </w:divBdr>
        </w:div>
        <w:div w:id="868294920">
          <w:marLeft w:val="547"/>
          <w:marRight w:val="0"/>
          <w:marTop w:val="144"/>
          <w:marBottom w:val="0"/>
          <w:divBdr>
            <w:top w:val="none" w:sz="0" w:space="0" w:color="auto"/>
            <w:left w:val="none" w:sz="0" w:space="0" w:color="auto"/>
            <w:bottom w:val="none" w:sz="0" w:space="0" w:color="auto"/>
            <w:right w:val="none" w:sz="0" w:space="0" w:color="auto"/>
          </w:divBdr>
        </w:div>
        <w:div w:id="1223056654">
          <w:marLeft w:val="547"/>
          <w:marRight w:val="0"/>
          <w:marTop w:val="144"/>
          <w:marBottom w:val="0"/>
          <w:divBdr>
            <w:top w:val="none" w:sz="0" w:space="0" w:color="auto"/>
            <w:left w:val="none" w:sz="0" w:space="0" w:color="auto"/>
            <w:bottom w:val="none" w:sz="0" w:space="0" w:color="auto"/>
            <w:right w:val="none" w:sz="0" w:space="0" w:color="auto"/>
          </w:divBdr>
        </w:div>
        <w:div w:id="2123529077">
          <w:marLeft w:val="547"/>
          <w:marRight w:val="0"/>
          <w:marTop w:val="144"/>
          <w:marBottom w:val="0"/>
          <w:divBdr>
            <w:top w:val="none" w:sz="0" w:space="0" w:color="auto"/>
            <w:left w:val="none" w:sz="0" w:space="0" w:color="auto"/>
            <w:bottom w:val="none" w:sz="0" w:space="0" w:color="auto"/>
            <w:right w:val="none" w:sz="0" w:space="0" w:color="auto"/>
          </w:divBdr>
        </w:div>
      </w:divsChild>
    </w:div>
    <w:div w:id="1962495332">
      <w:bodyDiv w:val="1"/>
      <w:marLeft w:val="0"/>
      <w:marRight w:val="0"/>
      <w:marTop w:val="0"/>
      <w:marBottom w:val="0"/>
      <w:divBdr>
        <w:top w:val="none" w:sz="0" w:space="0" w:color="auto"/>
        <w:left w:val="none" w:sz="0" w:space="0" w:color="auto"/>
        <w:bottom w:val="none" w:sz="0" w:space="0" w:color="auto"/>
        <w:right w:val="none" w:sz="0" w:space="0" w:color="auto"/>
      </w:divBdr>
      <w:divsChild>
        <w:div w:id="916785259">
          <w:marLeft w:val="0"/>
          <w:marRight w:val="0"/>
          <w:marTop w:val="115"/>
          <w:marBottom w:val="0"/>
          <w:divBdr>
            <w:top w:val="none" w:sz="0" w:space="0" w:color="auto"/>
            <w:left w:val="none" w:sz="0" w:space="0" w:color="auto"/>
            <w:bottom w:val="none" w:sz="0" w:space="0" w:color="auto"/>
            <w:right w:val="none" w:sz="0" w:space="0" w:color="auto"/>
          </w:divBdr>
        </w:div>
        <w:div w:id="360059705">
          <w:marLeft w:val="0"/>
          <w:marRight w:val="0"/>
          <w:marTop w:val="115"/>
          <w:marBottom w:val="0"/>
          <w:divBdr>
            <w:top w:val="none" w:sz="0" w:space="0" w:color="auto"/>
            <w:left w:val="none" w:sz="0" w:space="0" w:color="auto"/>
            <w:bottom w:val="none" w:sz="0" w:space="0" w:color="auto"/>
            <w:right w:val="none" w:sz="0" w:space="0" w:color="auto"/>
          </w:divBdr>
        </w:div>
      </w:divsChild>
    </w:div>
    <w:div w:id="202574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ideas.repec.org/h/eee/labchp/3-40.html"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10.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www.oecd.org/els/emp/4671787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kiko\IPEA\Proposal_IPEA_PUC_UFRJ%202nd%20Round_28_3.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0B4A8-82CD-47EE-BD9F-475183594F18}">
  <ds:schemaRefs>
    <ds:schemaRef ds:uri="http://schemas.openxmlformats.org/officeDocument/2006/bibliography"/>
  </ds:schemaRefs>
</ds:datastoreItem>
</file>

<file path=customXml/itemProps2.xml><?xml version="1.0" encoding="utf-8"?>
<ds:datastoreItem xmlns:ds="http://schemas.openxmlformats.org/officeDocument/2006/customXml" ds:itemID="{124A3698-1633-4AC0-B09E-A15AE140A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Proposal_IPEA_PUC_UFRJ 2nd Round_28_3</Template>
  <TotalTime>0</TotalTime>
  <Pages>30</Pages>
  <Words>8411</Words>
  <Characters>45424</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1</vt:lpstr>
    </vt:vector>
  </TitlesOfParts>
  <Company>IPEA</Company>
  <LinksUpToDate>false</LinksUpToDate>
  <CharactersWithSpaces>53728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r1282055</dc:creator>
  <cp:lastModifiedBy>Carlos Henrique Leite Corseuil</cp:lastModifiedBy>
  <cp:revision>2</cp:revision>
  <cp:lastPrinted>2013-03-12T20:56:00Z</cp:lastPrinted>
  <dcterms:created xsi:type="dcterms:W3CDTF">2013-04-01T17:41:00Z</dcterms:created>
  <dcterms:modified xsi:type="dcterms:W3CDTF">2013-04-01T17:41:00Z</dcterms:modified>
</cp:coreProperties>
</file>